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37CF3" w14:textId="43309BBA" w:rsidR="00C4044B" w:rsidRPr="00C4044B" w:rsidRDefault="00C4044B" w:rsidP="00C4044B">
      <w:pPr>
        <w:spacing w:after="120"/>
        <w:jc w:val="both"/>
        <w:rPr>
          <w:rFonts w:ascii="Arial" w:hAnsi="Arial" w:cs="Arial"/>
          <w:b/>
          <w:sz w:val="28"/>
          <w:szCs w:val="28"/>
        </w:rPr>
      </w:pPr>
      <w:r w:rsidRPr="00C4044B">
        <w:rPr>
          <w:rFonts w:ascii="Arial" w:eastAsia="Times New Roman" w:hAnsi="Arial" w:cs="Arial"/>
          <w:b/>
          <w:bCs/>
          <w:sz w:val="28"/>
          <w:szCs w:val="28"/>
          <w:lang w:val="en-US" w:eastAsia="de-DE"/>
        </w:rPr>
        <w:t>This is a pre-print of the following article:</w:t>
      </w:r>
      <w:r w:rsidRPr="00C4044B">
        <w:rPr>
          <w:rFonts w:ascii="Arial" w:hAnsi="Arial" w:cs="Arial"/>
          <w:sz w:val="28"/>
          <w:szCs w:val="28"/>
          <w:lang w:val="en-US"/>
        </w:rPr>
        <w:t xml:space="preserve"> </w:t>
      </w:r>
      <w:r w:rsidRPr="00C4044B">
        <w:rPr>
          <w:rFonts w:ascii="Arial" w:hAnsi="Arial" w:cs="Arial"/>
          <w:sz w:val="28"/>
          <w:szCs w:val="28"/>
          <w:lang w:val="en-US"/>
        </w:rPr>
        <w:t xml:space="preserve">Gerhards, Jürgen, Silke Hans &amp; Daniel Drewski. </w:t>
      </w:r>
      <w:r w:rsidRPr="00C4044B">
        <w:rPr>
          <w:rFonts w:ascii="Arial" w:hAnsi="Arial" w:cs="Arial"/>
          <w:sz w:val="28"/>
          <w:szCs w:val="28"/>
        </w:rPr>
        <w:t xml:space="preserve">2017. Zentrum und Peripherie im globalen Wissenschaftssystem. Wie das symbolische Kapital von Universitäten die internationalen Mobilitätschancen von Soziologiestudierenden beeinflusst </w:t>
      </w:r>
      <w:r w:rsidRPr="00C4044B">
        <w:rPr>
          <w:rFonts w:ascii="Arial" w:hAnsi="Arial" w:cs="Arial"/>
          <w:i/>
          <w:sz w:val="28"/>
          <w:szCs w:val="28"/>
        </w:rPr>
        <w:t>Kölner Zeitschrift für Soziologie und Sozialpsychologie</w:t>
      </w:r>
      <w:r w:rsidRPr="00C4044B">
        <w:rPr>
          <w:rFonts w:ascii="Arial" w:hAnsi="Arial" w:cs="Arial"/>
          <w:sz w:val="28"/>
          <w:szCs w:val="28"/>
        </w:rPr>
        <w:t xml:space="preserve"> </w:t>
      </w:r>
      <w:r w:rsidRPr="00C4044B">
        <w:rPr>
          <w:rFonts w:ascii="Arial" w:hAnsi="Arial" w:cs="Arial"/>
          <w:color w:val="333333"/>
          <w:sz w:val="28"/>
          <w:szCs w:val="28"/>
        </w:rPr>
        <w:t>69(1): 131-147</w:t>
      </w:r>
    </w:p>
    <w:p w14:paraId="0C886BFA" w14:textId="77777777" w:rsidR="00C4044B" w:rsidRDefault="00C4044B" w:rsidP="00FD661C">
      <w:pPr>
        <w:spacing w:after="120" w:line="360" w:lineRule="auto"/>
        <w:jc w:val="both"/>
        <w:rPr>
          <w:rFonts w:ascii="Arial" w:hAnsi="Arial" w:cs="Arial"/>
          <w:b/>
          <w:sz w:val="22"/>
          <w:szCs w:val="22"/>
        </w:rPr>
      </w:pPr>
    </w:p>
    <w:p w14:paraId="5282F074" w14:textId="77777777" w:rsidR="00C4044B" w:rsidRDefault="00C4044B" w:rsidP="00FD661C">
      <w:pPr>
        <w:spacing w:after="120" w:line="360" w:lineRule="auto"/>
        <w:jc w:val="both"/>
        <w:rPr>
          <w:rFonts w:ascii="Arial" w:hAnsi="Arial" w:cs="Arial"/>
          <w:b/>
          <w:sz w:val="22"/>
          <w:szCs w:val="22"/>
        </w:rPr>
      </w:pPr>
    </w:p>
    <w:p w14:paraId="72907701" w14:textId="68A30EFD" w:rsidR="00FD661C" w:rsidRDefault="00FD661C" w:rsidP="00FD661C">
      <w:pPr>
        <w:spacing w:after="120" w:line="360" w:lineRule="auto"/>
        <w:jc w:val="both"/>
        <w:rPr>
          <w:rFonts w:ascii="Arial" w:hAnsi="Arial" w:cs="Arial"/>
          <w:b/>
          <w:sz w:val="22"/>
          <w:szCs w:val="22"/>
        </w:rPr>
      </w:pPr>
      <w:r w:rsidRPr="00FC055E">
        <w:rPr>
          <w:rFonts w:ascii="Arial" w:hAnsi="Arial" w:cs="Arial"/>
          <w:b/>
          <w:sz w:val="22"/>
          <w:szCs w:val="22"/>
        </w:rPr>
        <w:t>Zentrum und Peripherie im globalen Wissenschaftssystem: Wie das symbolische Kapital von Universitäten die internationalen Mobilitätschancen von Soziologiestudierenden beeinflusst</w:t>
      </w:r>
      <w:r w:rsidR="005A0634">
        <w:rPr>
          <w:rStyle w:val="Funotenzeichen"/>
          <w:rFonts w:ascii="Arial" w:hAnsi="Arial"/>
          <w:b/>
          <w:sz w:val="22"/>
          <w:szCs w:val="22"/>
        </w:rPr>
        <w:footnoteReference w:id="1"/>
      </w:r>
      <w:r w:rsidRPr="00FC055E">
        <w:rPr>
          <w:rFonts w:ascii="Arial" w:hAnsi="Arial" w:cs="Arial"/>
          <w:b/>
          <w:sz w:val="22"/>
          <w:szCs w:val="22"/>
        </w:rPr>
        <w:t xml:space="preserve"> </w:t>
      </w:r>
    </w:p>
    <w:p w14:paraId="2B326251" w14:textId="77777777" w:rsidR="00FD661C" w:rsidRPr="00FC055E" w:rsidRDefault="00FD661C" w:rsidP="00FD661C">
      <w:pPr>
        <w:spacing w:after="120" w:line="360" w:lineRule="auto"/>
        <w:jc w:val="both"/>
        <w:rPr>
          <w:rFonts w:ascii="Arial" w:hAnsi="Arial" w:cs="Arial"/>
          <w:i/>
          <w:sz w:val="22"/>
          <w:szCs w:val="22"/>
        </w:rPr>
      </w:pPr>
      <w:r w:rsidRPr="00FC055E">
        <w:rPr>
          <w:rFonts w:ascii="Arial" w:hAnsi="Arial" w:cs="Arial"/>
          <w:i/>
          <w:sz w:val="22"/>
          <w:szCs w:val="22"/>
        </w:rPr>
        <w:t xml:space="preserve">Jürgen Gerhards, Silke Hans und Daniel Drewski </w:t>
      </w:r>
    </w:p>
    <w:p w14:paraId="46F28821" w14:textId="77777777" w:rsidR="00FD661C" w:rsidRDefault="00FD661C" w:rsidP="00FD661C">
      <w:pPr>
        <w:spacing w:after="120" w:line="360" w:lineRule="auto"/>
        <w:jc w:val="both"/>
        <w:rPr>
          <w:rFonts w:ascii="Arial" w:hAnsi="Arial" w:cs="Arial"/>
          <w:b/>
          <w:sz w:val="22"/>
          <w:szCs w:val="22"/>
        </w:rPr>
      </w:pPr>
    </w:p>
    <w:p w14:paraId="7BA73EBE" w14:textId="053882AC" w:rsidR="00C7655A" w:rsidRPr="00FC055E" w:rsidRDefault="00654C1A" w:rsidP="00D00E20">
      <w:pPr>
        <w:spacing w:after="120" w:line="360" w:lineRule="auto"/>
        <w:jc w:val="both"/>
        <w:rPr>
          <w:rFonts w:ascii="Arial" w:hAnsi="Arial" w:cs="Arial"/>
          <w:sz w:val="22"/>
          <w:szCs w:val="22"/>
        </w:rPr>
      </w:pPr>
      <w:r w:rsidRPr="00FC055E">
        <w:rPr>
          <w:rFonts w:ascii="Arial" w:hAnsi="Arial" w:cs="Arial"/>
          <w:sz w:val="22"/>
          <w:szCs w:val="22"/>
        </w:rPr>
        <w:t xml:space="preserve">Das </w:t>
      </w:r>
      <w:r w:rsidR="00FD2CF5" w:rsidRPr="00FC055E">
        <w:rPr>
          <w:rFonts w:ascii="Arial" w:hAnsi="Arial" w:cs="Arial"/>
          <w:sz w:val="22"/>
          <w:szCs w:val="22"/>
        </w:rPr>
        <w:t xml:space="preserve">globale </w:t>
      </w:r>
      <w:r w:rsidRPr="00FC055E">
        <w:rPr>
          <w:rFonts w:ascii="Arial" w:hAnsi="Arial" w:cs="Arial"/>
          <w:sz w:val="22"/>
          <w:szCs w:val="22"/>
        </w:rPr>
        <w:t>Wissenschaftssystem ist – wie viele andere Bereiche der Weltgesellschaft auch – hierarchisch strukturiert (</w:t>
      </w:r>
      <w:proofErr w:type="spellStart"/>
      <w:r w:rsidR="00F614E8" w:rsidRPr="00FC055E">
        <w:rPr>
          <w:rFonts w:ascii="Arial" w:hAnsi="Arial" w:cs="Arial"/>
          <w:sz w:val="22"/>
          <w:szCs w:val="22"/>
        </w:rPr>
        <w:t>Marginson</w:t>
      </w:r>
      <w:proofErr w:type="spellEnd"/>
      <w:r w:rsidR="00F614E8" w:rsidRPr="00FC055E">
        <w:rPr>
          <w:rFonts w:ascii="Arial" w:hAnsi="Arial" w:cs="Arial"/>
          <w:sz w:val="22"/>
          <w:szCs w:val="22"/>
        </w:rPr>
        <w:t xml:space="preserve"> 2008; </w:t>
      </w:r>
      <w:r w:rsidRPr="00FC055E">
        <w:rPr>
          <w:rFonts w:ascii="Arial" w:hAnsi="Arial" w:cs="Arial"/>
          <w:sz w:val="22"/>
          <w:szCs w:val="22"/>
        </w:rPr>
        <w:t xml:space="preserve">Münch 2011). So wie es arme und sehr wohlhabende Länder gibt, Staaten, die die Weltpolitik entscheidend bestimmen und andere, die weltpolitisch unbedeutend sind, so gibt es bestimmte Länder, deren Universitäten im Zentrum des Systems stehen und solche, die – berechtigt oder nicht – eine periphere Stellung einnehmen. </w:t>
      </w:r>
      <w:r w:rsidR="008B5627" w:rsidRPr="00FC055E">
        <w:rPr>
          <w:rFonts w:ascii="Arial" w:hAnsi="Arial" w:cs="Arial"/>
          <w:sz w:val="22"/>
          <w:szCs w:val="22"/>
        </w:rPr>
        <w:t>Wir vermuten, dass Hochschulabsolvent</w:t>
      </w:r>
      <w:r w:rsidR="00A7715B" w:rsidRPr="00FC055E">
        <w:rPr>
          <w:rFonts w:ascii="Arial" w:hAnsi="Arial" w:cs="Arial"/>
          <w:sz w:val="22"/>
          <w:szCs w:val="22"/>
        </w:rPr>
        <w:t>en</w:t>
      </w:r>
      <w:r w:rsidR="00B64949" w:rsidRPr="00FC055E">
        <w:rPr>
          <w:rStyle w:val="Funotenzeichen"/>
          <w:rFonts w:ascii="Arial" w:hAnsi="Arial" w:cs="Arial"/>
          <w:sz w:val="22"/>
          <w:szCs w:val="22"/>
        </w:rPr>
        <w:footnoteReference w:id="2"/>
      </w:r>
      <w:r w:rsidR="00A7715B" w:rsidRPr="00FC055E">
        <w:rPr>
          <w:rFonts w:ascii="Arial" w:hAnsi="Arial" w:cs="Arial"/>
          <w:sz w:val="22"/>
          <w:szCs w:val="22"/>
        </w:rPr>
        <w:t xml:space="preserve"> </w:t>
      </w:r>
      <w:r w:rsidR="008B5627" w:rsidRPr="00FC055E">
        <w:rPr>
          <w:rFonts w:ascii="Arial" w:hAnsi="Arial" w:cs="Arial"/>
          <w:sz w:val="22"/>
          <w:szCs w:val="22"/>
        </w:rPr>
        <w:t xml:space="preserve">aus Ländern im oberen Bereich der Reputationshierarchie der Wissenschaft vom symbolischen Kapital ihres Landes und ihrer Universität profitieren, weil </w:t>
      </w:r>
      <w:r w:rsidR="00627D51" w:rsidRPr="00FC055E">
        <w:rPr>
          <w:rFonts w:ascii="Arial" w:hAnsi="Arial" w:cs="Arial"/>
          <w:sz w:val="22"/>
          <w:szCs w:val="22"/>
        </w:rPr>
        <w:t>ihre</w:t>
      </w:r>
      <w:r w:rsidR="00A7715B" w:rsidRPr="00FC055E">
        <w:rPr>
          <w:rFonts w:ascii="Arial" w:hAnsi="Arial" w:cs="Arial"/>
          <w:sz w:val="22"/>
          <w:szCs w:val="22"/>
        </w:rPr>
        <w:t xml:space="preserve"> wissenschaftliche Reputation auf die </w:t>
      </w:r>
      <w:r w:rsidR="008B5627" w:rsidRPr="00FC055E">
        <w:rPr>
          <w:rFonts w:ascii="Arial" w:hAnsi="Arial" w:cs="Arial"/>
          <w:sz w:val="22"/>
          <w:szCs w:val="22"/>
        </w:rPr>
        <w:t>jeweilige Person attribuiert wird und damit auf diese abfärbt. Dieser Mechanismus schlägt sich vermutlich auch in ungleichen Chancen nieder, international mobil zu werden und dadurch Zugang zu den Zentren des globalen Wissenschaftssystems zu erhalten.</w:t>
      </w:r>
      <w:r w:rsidR="00317712">
        <w:rPr>
          <w:rFonts w:ascii="Arial" w:hAnsi="Arial" w:cs="Arial"/>
          <w:sz w:val="22"/>
          <w:szCs w:val="22"/>
        </w:rPr>
        <w:t xml:space="preserve"> </w:t>
      </w:r>
      <w:r w:rsidR="00BD4DB3">
        <w:rPr>
          <w:rFonts w:ascii="Arial" w:hAnsi="Arial" w:cs="Arial"/>
          <w:sz w:val="22"/>
          <w:szCs w:val="22"/>
        </w:rPr>
        <w:t>Hier</w:t>
      </w:r>
      <w:r w:rsidR="008B5627" w:rsidRPr="00FC055E">
        <w:rPr>
          <w:rFonts w:ascii="Arial" w:hAnsi="Arial" w:cs="Arial"/>
          <w:sz w:val="22"/>
          <w:szCs w:val="22"/>
        </w:rPr>
        <w:t xml:space="preserve"> setzen wir mit unserer </w:t>
      </w:r>
      <w:r w:rsidR="00D9736D" w:rsidRPr="00FC055E">
        <w:rPr>
          <w:rFonts w:ascii="Arial" w:hAnsi="Arial" w:cs="Arial"/>
          <w:sz w:val="22"/>
          <w:szCs w:val="22"/>
        </w:rPr>
        <w:t>Studie</w:t>
      </w:r>
      <w:r w:rsidR="008B5627" w:rsidRPr="00FC055E">
        <w:rPr>
          <w:rFonts w:ascii="Arial" w:hAnsi="Arial" w:cs="Arial"/>
          <w:sz w:val="22"/>
          <w:szCs w:val="22"/>
        </w:rPr>
        <w:t xml:space="preserve"> an</w:t>
      </w:r>
      <w:r w:rsidR="00D9736D" w:rsidRPr="00FC055E">
        <w:rPr>
          <w:rFonts w:ascii="Arial" w:hAnsi="Arial" w:cs="Arial"/>
          <w:sz w:val="22"/>
          <w:szCs w:val="22"/>
        </w:rPr>
        <w:t>:</w:t>
      </w:r>
      <w:r w:rsidR="008B5627" w:rsidRPr="00FC055E">
        <w:rPr>
          <w:rFonts w:ascii="Arial" w:hAnsi="Arial" w:cs="Arial"/>
          <w:sz w:val="22"/>
          <w:szCs w:val="22"/>
        </w:rPr>
        <w:t xml:space="preserve"> </w:t>
      </w:r>
      <w:r w:rsidR="00C7655A" w:rsidRPr="00FC055E">
        <w:rPr>
          <w:rFonts w:ascii="Arial" w:hAnsi="Arial" w:cs="Arial"/>
          <w:sz w:val="22"/>
          <w:szCs w:val="22"/>
        </w:rPr>
        <w:t>Wir konzentrieren uns auf die Analyse des Einflusses der wissenschaftlichen Reputation des Herkunftslands und der Universität eines Doktoranden auf die Wahrscheinlichkeit, mit einer Bewerbung auf eine Dissertationsbetreuung im Ausland erfolgreich zu sein</w:t>
      </w:r>
      <w:r w:rsidR="00FD661C">
        <w:rPr>
          <w:rFonts w:ascii="Arial" w:hAnsi="Arial" w:cs="Arial"/>
          <w:sz w:val="22"/>
          <w:szCs w:val="22"/>
        </w:rPr>
        <w:t xml:space="preserve">. </w:t>
      </w:r>
      <w:r w:rsidR="00C7655A" w:rsidRPr="00FC055E">
        <w:rPr>
          <w:rFonts w:ascii="Arial" w:hAnsi="Arial" w:cs="Arial"/>
          <w:sz w:val="22"/>
          <w:szCs w:val="22"/>
        </w:rPr>
        <w:t>Führt also das wissenschaftlich-symbolische Kapital des Landes bzw. einer Universität zu unterschiedlichen Erfolgschancen auf der Individualebene?</w:t>
      </w:r>
    </w:p>
    <w:p w14:paraId="5A1F018C" w14:textId="74518B84" w:rsidR="00C235AB" w:rsidRPr="00FC055E" w:rsidRDefault="002B1C4C" w:rsidP="00D00E20">
      <w:pPr>
        <w:spacing w:after="120" w:line="360" w:lineRule="auto"/>
        <w:jc w:val="both"/>
        <w:rPr>
          <w:rFonts w:ascii="Arial" w:hAnsi="Arial" w:cs="Arial"/>
          <w:sz w:val="22"/>
          <w:szCs w:val="22"/>
        </w:rPr>
      </w:pPr>
      <w:r w:rsidRPr="00FC055E">
        <w:rPr>
          <w:rFonts w:ascii="Arial" w:hAnsi="Arial" w:cs="Arial"/>
          <w:sz w:val="22"/>
          <w:szCs w:val="22"/>
        </w:rPr>
        <w:t>Diese Frage stell</w:t>
      </w:r>
      <w:r w:rsidR="00BD4DB3">
        <w:rPr>
          <w:rFonts w:ascii="Arial" w:hAnsi="Arial" w:cs="Arial"/>
          <w:sz w:val="22"/>
          <w:szCs w:val="22"/>
        </w:rPr>
        <w:t>t</w:t>
      </w:r>
      <w:r w:rsidRPr="00FC055E">
        <w:rPr>
          <w:rFonts w:ascii="Arial" w:hAnsi="Arial" w:cs="Arial"/>
          <w:sz w:val="22"/>
          <w:szCs w:val="22"/>
        </w:rPr>
        <w:t xml:space="preserve"> sich insbesondere vor dem Hintergrund der zunehmenden Internationalisierung von Hochschulbildung und Forschung. </w:t>
      </w:r>
      <w:r w:rsidR="00842757" w:rsidRPr="00FC055E">
        <w:rPr>
          <w:rFonts w:ascii="Arial" w:hAnsi="Arial" w:cs="Arial"/>
          <w:sz w:val="22"/>
          <w:szCs w:val="22"/>
        </w:rPr>
        <w:t xml:space="preserve">Der Anteil der Studierenden, die ihr Studium im Ausland absolvieren – sei es temporär oder für die komplette Studienzeit inklusive eines Studienabschlusses – ist in den letzten Jahren </w:t>
      </w:r>
      <w:r w:rsidR="00D9736D" w:rsidRPr="00FC055E">
        <w:rPr>
          <w:rFonts w:ascii="Arial" w:hAnsi="Arial" w:cs="Arial"/>
          <w:sz w:val="22"/>
          <w:szCs w:val="22"/>
        </w:rPr>
        <w:t xml:space="preserve">stark </w:t>
      </w:r>
      <w:r w:rsidR="00842757" w:rsidRPr="00FC055E">
        <w:rPr>
          <w:rFonts w:ascii="Arial" w:hAnsi="Arial" w:cs="Arial"/>
          <w:sz w:val="22"/>
          <w:szCs w:val="22"/>
        </w:rPr>
        <w:t xml:space="preserve">angestiegen (UNESCO 2014). Auch in </w:t>
      </w:r>
      <w:r w:rsidR="00842757" w:rsidRPr="00FC055E">
        <w:rPr>
          <w:rFonts w:ascii="Arial" w:hAnsi="Arial" w:cs="Arial"/>
          <w:sz w:val="22"/>
          <w:szCs w:val="22"/>
        </w:rPr>
        <w:lastRenderedPageBreak/>
        <w:t xml:space="preserve">Deutschland absolvierten 2014 mehr als 200.000 sogenannte Bildungsausländer ein Hochschulstudium; das entspricht mehr als 8% der eingeschriebenen Studierenden (DAAD 2015). </w:t>
      </w:r>
      <w:r w:rsidR="00627D51" w:rsidRPr="00FC055E">
        <w:rPr>
          <w:rFonts w:ascii="Arial" w:hAnsi="Arial" w:cs="Arial"/>
          <w:sz w:val="22"/>
          <w:szCs w:val="22"/>
        </w:rPr>
        <w:t>Während v</w:t>
      </w:r>
      <w:r w:rsidR="00842757" w:rsidRPr="00FC055E">
        <w:rPr>
          <w:rFonts w:ascii="Arial" w:hAnsi="Arial" w:cs="Arial"/>
          <w:sz w:val="22"/>
          <w:szCs w:val="22"/>
        </w:rPr>
        <w:t xml:space="preserve">iele Studierende ihren Auslandsaufenthalt über institutionalisierte Austauschprogramme </w:t>
      </w:r>
      <w:r w:rsidR="00627D51" w:rsidRPr="00FC055E">
        <w:rPr>
          <w:rFonts w:ascii="Arial" w:hAnsi="Arial" w:cs="Arial"/>
          <w:sz w:val="22"/>
          <w:szCs w:val="22"/>
        </w:rPr>
        <w:t xml:space="preserve">organisieren, ist </w:t>
      </w:r>
      <w:r w:rsidR="00D9736D" w:rsidRPr="00FC055E">
        <w:rPr>
          <w:rFonts w:ascii="Arial" w:hAnsi="Arial" w:cs="Arial"/>
          <w:sz w:val="22"/>
          <w:szCs w:val="22"/>
        </w:rPr>
        <w:t xml:space="preserve">bei </w:t>
      </w:r>
      <w:r w:rsidR="00842757" w:rsidRPr="00FC055E">
        <w:rPr>
          <w:rFonts w:ascii="Arial" w:hAnsi="Arial" w:cs="Arial"/>
          <w:sz w:val="22"/>
          <w:szCs w:val="22"/>
        </w:rPr>
        <w:t xml:space="preserve">Doktoranden der Anteil der direkten Bewerbungen, die sich an konkrete </w:t>
      </w:r>
      <w:r w:rsidR="00627D51" w:rsidRPr="00FC055E">
        <w:rPr>
          <w:rFonts w:ascii="Arial" w:hAnsi="Arial" w:cs="Arial"/>
          <w:sz w:val="22"/>
          <w:szCs w:val="22"/>
        </w:rPr>
        <w:t xml:space="preserve">Betreuer </w:t>
      </w:r>
      <w:r w:rsidR="00842757" w:rsidRPr="00FC055E">
        <w:rPr>
          <w:rFonts w:ascii="Arial" w:hAnsi="Arial" w:cs="Arial"/>
          <w:sz w:val="22"/>
          <w:szCs w:val="22"/>
        </w:rPr>
        <w:t>richten, besonders hoch. Fast jeder, der in Deutschland im akademischen Feld beschäftigt ist und ein Promotionsrecht hat, kennt die meist per E</w:t>
      </w:r>
      <w:r w:rsidR="000314D9">
        <w:rPr>
          <w:rFonts w:ascii="Arial" w:hAnsi="Arial" w:cs="Arial"/>
          <w:sz w:val="22"/>
          <w:szCs w:val="22"/>
        </w:rPr>
        <w:t>-M</w:t>
      </w:r>
      <w:r w:rsidR="00842757" w:rsidRPr="00FC055E">
        <w:rPr>
          <w:rFonts w:ascii="Arial" w:hAnsi="Arial" w:cs="Arial"/>
          <w:sz w:val="22"/>
          <w:szCs w:val="22"/>
        </w:rPr>
        <w:t>ail verschickten Anfragen</w:t>
      </w:r>
      <w:r w:rsidR="00FD661C">
        <w:rPr>
          <w:rFonts w:ascii="Arial" w:hAnsi="Arial" w:cs="Arial"/>
          <w:sz w:val="22"/>
          <w:szCs w:val="22"/>
        </w:rPr>
        <w:t xml:space="preserve"> aus dem Ausland</w:t>
      </w:r>
      <w:r w:rsidR="00842757" w:rsidRPr="00FC055E">
        <w:rPr>
          <w:rFonts w:ascii="Arial" w:hAnsi="Arial" w:cs="Arial"/>
          <w:sz w:val="22"/>
          <w:szCs w:val="22"/>
        </w:rPr>
        <w:t xml:space="preserve">, in denen um eine </w:t>
      </w:r>
      <w:r w:rsidR="00C35210">
        <w:rPr>
          <w:rFonts w:ascii="Arial" w:hAnsi="Arial" w:cs="Arial"/>
          <w:sz w:val="22"/>
          <w:szCs w:val="22"/>
        </w:rPr>
        <w:t>Dissertationsb</w:t>
      </w:r>
      <w:r w:rsidR="00842757" w:rsidRPr="00FC055E">
        <w:rPr>
          <w:rFonts w:ascii="Arial" w:hAnsi="Arial" w:cs="Arial"/>
          <w:sz w:val="22"/>
          <w:szCs w:val="22"/>
        </w:rPr>
        <w:t>etreuung gebeten wird</w:t>
      </w:r>
      <w:r w:rsidR="00FD661C">
        <w:rPr>
          <w:rFonts w:ascii="Arial" w:hAnsi="Arial" w:cs="Arial"/>
          <w:sz w:val="22"/>
          <w:szCs w:val="22"/>
        </w:rPr>
        <w:t xml:space="preserve">. </w:t>
      </w:r>
      <w:r w:rsidR="00842757" w:rsidRPr="00FC055E">
        <w:rPr>
          <w:rFonts w:ascii="Arial" w:hAnsi="Arial" w:cs="Arial"/>
          <w:sz w:val="22"/>
          <w:szCs w:val="22"/>
        </w:rPr>
        <w:t>Nicht selten bleiben diese Anfragen unbeantwortet und verhallen im weltweiten Netz</w:t>
      </w:r>
      <w:r w:rsidR="007D4BB1">
        <w:rPr>
          <w:rFonts w:ascii="Arial" w:hAnsi="Arial" w:cs="Arial"/>
          <w:sz w:val="22"/>
          <w:szCs w:val="22"/>
        </w:rPr>
        <w:t xml:space="preserve">. </w:t>
      </w:r>
      <w:r w:rsidR="00EF7271" w:rsidRPr="00FC055E">
        <w:rPr>
          <w:rFonts w:ascii="Arial" w:hAnsi="Arial" w:cs="Arial"/>
          <w:sz w:val="22"/>
          <w:szCs w:val="22"/>
        </w:rPr>
        <w:t xml:space="preserve">Besonders in einer solchen </w:t>
      </w:r>
      <w:r w:rsidR="0074467F" w:rsidRPr="00FC055E">
        <w:rPr>
          <w:rFonts w:ascii="Arial" w:hAnsi="Arial" w:cs="Arial"/>
          <w:sz w:val="22"/>
          <w:szCs w:val="22"/>
        </w:rPr>
        <w:t>nicht formalisierten</w:t>
      </w:r>
      <w:r w:rsidR="00EF7271" w:rsidRPr="00FC055E">
        <w:rPr>
          <w:rFonts w:ascii="Arial" w:hAnsi="Arial" w:cs="Arial"/>
          <w:sz w:val="22"/>
          <w:szCs w:val="22"/>
        </w:rPr>
        <w:t xml:space="preserve"> Auswahlsituation dürfte die Reputation des Herkunftslandes</w:t>
      </w:r>
      <w:r w:rsidR="001712D3" w:rsidRPr="00FC055E">
        <w:rPr>
          <w:rFonts w:ascii="Arial" w:hAnsi="Arial" w:cs="Arial"/>
          <w:sz w:val="22"/>
          <w:szCs w:val="22"/>
        </w:rPr>
        <w:t xml:space="preserve"> (z.B. USA, Frankreich, Polen oder Vietnam)</w:t>
      </w:r>
      <w:r w:rsidR="00EF7271" w:rsidRPr="00FC055E">
        <w:rPr>
          <w:rFonts w:ascii="Arial" w:hAnsi="Arial" w:cs="Arial"/>
          <w:sz w:val="22"/>
          <w:szCs w:val="22"/>
        </w:rPr>
        <w:t xml:space="preserve"> und der Herkunftsuniversität</w:t>
      </w:r>
      <w:r w:rsidR="001712D3" w:rsidRPr="00FC055E">
        <w:rPr>
          <w:rFonts w:ascii="Arial" w:hAnsi="Arial" w:cs="Arial"/>
          <w:sz w:val="22"/>
          <w:szCs w:val="22"/>
        </w:rPr>
        <w:t xml:space="preserve"> (z.B. Yale, Paris IV- Paris Sorbonne, </w:t>
      </w:r>
      <w:proofErr w:type="spellStart"/>
      <w:r w:rsidR="001712D3" w:rsidRPr="00FC055E">
        <w:rPr>
          <w:rFonts w:ascii="Arial" w:hAnsi="Arial" w:cs="Arial"/>
          <w:sz w:val="22"/>
          <w:szCs w:val="22"/>
        </w:rPr>
        <w:t>Uniwersytet</w:t>
      </w:r>
      <w:proofErr w:type="spellEnd"/>
      <w:r w:rsidR="001712D3" w:rsidRPr="00FC055E">
        <w:rPr>
          <w:rFonts w:ascii="Arial" w:hAnsi="Arial" w:cs="Arial"/>
          <w:sz w:val="22"/>
          <w:szCs w:val="22"/>
        </w:rPr>
        <w:t xml:space="preserve"> </w:t>
      </w:r>
      <w:proofErr w:type="spellStart"/>
      <w:r w:rsidR="001712D3" w:rsidRPr="00FC055E">
        <w:rPr>
          <w:rFonts w:ascii="Arial" w:hAnsi="Arial" w:cs="Arial"/>
          <w:sz w:val="22"/>
          <w:szCs w:val="22"/>
        </w:rPr>
        <w:t>Wrocɫawski</w:t>
      </w:r>
      <w:proofErr w:type="spellEnd"/>
      <w:r w:rsidR="001712D3" w:rsidRPr="00FC055E">
        <w:rPr>
          <w:rFonts w:ascii="Arial" w:hAnsi="Arial" w:cs="Arial"/>
          <w:sz w:val="22"/>
          <w:szCs w:val="22"/>
        </w:rPr>
        <w:t xml:space="preserve"> oder Vietnam National University)</w:t>
      </w:r>
      <w:r w:rsidR="00EF7271" w:rsidRPr="00FC055E">
        <w:rPr>
          <w:rFonts w:ascii="Arial" w:hAnsi="Arial" w:cs="Arial"/>
          <w:sz w:val="22"/>
          <w:szCs w:val="22"/>
        </w:rPr>
        <w:t xml:space="preserve"> eines Doktoranden eine entscheidende Rolle spielen.</w:t>
      </w:r>
    </w:p>
    <w:p w14:paraId="728B41E1" w14:textId="11815909" w:rsidR="00C42819"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Wir </w:t>
      </w:r>
      <w:r w:rsidR="00C235AB" w:rsidRPr="00FC055E">
        <w:rPr>
          <w:rFonts w:ascii="Arial" w:hAnsi="Arial" w:cs="Arial"/>
          <w:sz w:val="22"/>
          <w:szCs w:val="22"/>
        </w:rPr>
        <w:t>versuchen</w:t>
      </w:r>
      <w:r w:rsidR="00C35210">
        <w:rPr>
          <w:rFonts w:ascii="Arial" w:hAnsi="Arial" w:cs="Arial"/>
          <w:sz w:val="22"/>
          <w:szCs w:val="22"/>
        </w:rPr>
        <w:t>,</w:t>
      </w:r>
      <w:r w:rsidR="00C235AB" w:rsidRPr="00FC055E">
        <w:rPr>
          <w:rFonts w:ascii="Arial" w:hAnsi="Arial" w:cs="Arial"/>
          <w:sz w:val="22"/>
          <w:szCs w:val="22"/>
        </w:rPr>
        <w:t xml:space="preserve"> </w:t>
      </w:r>
      <w:r w:rsidR="00CA515E">
        <w:rPr>
          <w:rFonts w:ascii="Arial" w:hAnsi="Arial" w:cs="Arial"/>
          <w:sz w:val="22"/>
          <w:szCs w:val="22"/>
        </w:rPr>
        <w:t xml:space="preserve">den </w:t>
      </w:r>
      <w:r w:rsidR="00C42819" w:rsidRPr="00FC055E">
        <w:rPr>
          <w:rFonts w:ascii="Arial" w:hAnsi="Arial" w:cs="Arial"/>
          <w:sz w:val="22"/>
          <w:szCs w:val="22"/>
        </w:rPr>
        <w:t xml:space="preserve">Einfluss des symbolischen Kapitals einer Universität auf die Mobilitätschancen von Studierenden </w:t>
      </w:r>
      <w:r w:rsidRPr="00FC055E">
        <w:rPr>
          <w:rFonts w:ascii="Arial" w:hAnsi="Arial" w:cs="Arial"/>
          <w:sz w:val="22"/>
          <w:szCs w:val="22"/>
        </w:rPr>
        <w:t xml:space="preserve">mit Hilfe eines experimentellen Forschungsdesigns </w:t>
      </w:r>
      <w:r w:rsidR="00C235AB" w:rsidRPr="00FC055E">
        <w:rPr>
          <w:rFonts w:ascii="Arial" w:hAnsi="Arial" w:cs="Arial"/>
          <w:sz w:val="22"/>
          <w:szCs w:val="22"/>
        </w:rPr>
        <w:t xml:space="preserve">zu </w:t>
      </w:r>
      <w:r w:rsidR="00BD4DB3">
        <w:rPr>
          <w:rFonts w:ascii="Arial" w:hAnsi="Arial" w:cs="Arial"/>
          <w:sz w:val="22"/>
          <w:szCs w:val="22"/>
        </w:rPr>
        <w:t>untersuchen</w:t>
      </w:r>
      <w:r w:rsidRPr="00FC055E">
        <w:rPr>
          <w:rFonts w:ascii="Arial" w:hAnsi="Arial" w:cs="Arial"/>
          <w:sz w:val="22"/>
          <w:szCs w:val="22"/>
        </w:rPr>
        <w:t>. Konkret haben wir fingierte E</w:t>
      </w:r>
      <w:r w:rsidR="00901F86">
        <w:rPr>
          <w:rFonts w:ascii="Arial" w:hAnsi="Arial" w:cs="Arial"/>
          <w:sz w:val="22"/>
          <w:szCs w:val="22"/>
        </w:rPr>
        <w:t>-M</w:t>
      </w:r>
      <w:r w:rsidRPr="00FC055E">
        <w:rPr>
          <w:rFonts w:ascii="Arial" w:hAnsi="Arial" w:cs="Arial"/>
          <w:sz w:val="22"/>
          <w:szCs w:val="22"/>
        </w:rPr>
        <w:t>ails gleichen Inhalts an alle Soziolo</w:t>
      </w:r>
      <w:r w:rsidR="00C35210">
        <w:rPr>
          <w:rFonts w:ascii="Arial" w:hAnsi="Arial" w:cs="Arial"/>
          <w:sz w:val="22"/>
          <w:szCs w:val="22"/>
        </w:rPr>
        <w:t>gieprofessoren in Deutschland ver</w:t>
      </w:r>
      <w:r w:rsidRPr="00FC055E">
        <w:rPr>
          <w:rFonts w:ascii="Arial" w:hAnsi="Arial" w:cs="Arial"/>
          <w:sz w:val="22"/>
          <w:szCs w:val="22"/>
        </w:rPr>
        <w:t>schickt. In diesen haben fiktive ausländische Bewerber um eine Betreuung während eines geplanten Forschungsaufenthalts im Rahmen einer Dissertation gebeten. Als einzige Größe haben wir das Herkunftsland (USA, Singapur und Vietnam) und die Universität des Absenders (Yale University, Pennsylvania State University, National University of Singapore, National University of Vietnam</w:t>
      </w:r>
      <w:r w:rsidR="00C35210">
        <w:rPr>
          <w:rFonts w:ascii="Arial" w:hAnsi="Arial" w:cs="Arial"/>
          <w:sz w:val="22"/>
          <w:szCs w:val="22"/>
        </w:rPr>
        <w:t>/</w:t>
      </w:r>
      <w:r w:rsidRPr="00FC055E">
        <w:rPr>
          <w:rFonts w:ascii="Arial" w:hAnsi="Arial" w:cs="Arial"/>
          <w:sz w:val="22"/>
          <w:szCs w:val="22"/>
        </w:rPr>
        <w:t xml:space="preserve">Hanoi) variiert. Im Hintergrund steht dabei die Annahme, dass die jeweiligen Empfänger </w:t>
      </w:r>
      <w:r w:rsidR="00266CF1" w:rsidRPr="00FC055E">
        <w:rPr>
          <w:rFonts w:ascii="Arial" w:hAnsi="Arial" w:cs="Arial"/>
          <w:sz w:val="22"/>
          <w:szCs w:val="22"/>
        </w:rPr>
        <w:t>so</w:t>
      </w:r>
      <w:r w:rsidRPr="00FC055E">
        <w:rPr>
          <w:rFonts w:ascii="Arial" w:hAnsi="Arial" w:cs="Arial"/>
          <w:sz w:val="22"/>
          <w:szCs w:val="22"/>
        </w:rPr>
        <w:t xml:space="preserve"> auf das mit dem Land bzw. der Universität verbundene symbolische Kapital schließen können. Bei der Auswahl der Universitäten haben wir das Prestige des Landes und der Universität </w:t>
      </w:r>
      <w:r w:rsidR="00266CF1" w:rsidRPr="00FC055E">
        <w:rPr>
          <w:rFonts w:ascii="Arial" w:hAnsi="Arial" w:cs="Arial"/>
          <w:sz w:val="22"/>
          <w:szCs w:val="22"/>
        </w:rPr>
        <w:t>sowie</w:t>
      </w:r>
      <w:r w:rsidRPr="00FC055E">
        <w:rPr>
          <w:rFonts w:ascii="Arial" w:hAnsi="Arial" w:cs="Arial"/>
          <w:sz w:val="22"/>
          <w:szCs w:val="22"/>
        </w:rPr>
        <w:t xml:space="preserve"> die Leistungsstärke des jeweiligen soziologischen Instituts</w:t>
      </w:r>
      <w:r w:rsidR="00266CF1" w:rsidRPr="00FC055E">
        <w:rPr>
          <w:rFonts w:ascii="Arial" w:hAnsi="Arial" w:cs="Arial"/>
          <w:sz w:val="22"/>
          <w:szCs w:val="22"/>
        </w:rPr>
        <w:t xml:space="preserve"> berücksichtigt</w:t>
      </w:r>
      <w:r w:rsidRPr="00FC055E">
        <w:rPr>
          <w:rFonts w:ascii="Arial" w:hAnsi="Arial" w:cs="Arial"/>
          <w:sz w:val="22"/>
          <w:szCs w:val="22"/>
        </w:rPr>
        <w:t xml:space="preserve">. Dadurch </w:t>
      </w:r>
      <w:r w:rsidR="00C227FA" w:rsidRPr="00FC055E">
        <w:rPr>
          <w:rFonts w:ascii="Arial" w:hAnsi="Arial" w:cs="Arial"/>
          <w:sz w:val="22"/>
          <w:szCs w:val="22"/>
        </w:rPr>
        <w:t xml:space="preserve">können </w:t>
      </w:r>
      <w:r w:rsidRPr="00FC055E">
        <w:rPr>
          <w:rFonts w:ascii="Arial" w:hAnsi="Arial" w:cs="Arial"/>
          <w:sz w:val="22"/>
          <w:szCs w:val="22"/>
        </w:rPr>
        <w:t xml:space="preserve">wir zumindest ansatzweise bestimmen, in welchem Maße allein das symbolische Kapital, </w:t>
      </w:r>
      <w:r w:rsidR="00627D51" w:rsidRPr="00FC055E">
        <w:rPr>
          <w:rFonts w:ascii="Arial" w:hAnsi="Arial" w:cs="Arial"/>
          <w:sz w:val="22"/>
          <w:szCs w:val="22"/>
        </w:rPr>
        <w:t xml:space="preserve">d.h. </w:t>
      </w:r>
      <w:r w:rsidRPr="00FC055E">
        <w:rPr>
          <w:rFonts w:ascii="Arial" w:hAnsi="Arial" w:cs="Arial"/>
          <w:sz w:val="22"/>
          <w:szCs w:val="22"/>
        </w:rPr>
        <w:t xml:space="preserve">der reine Ruf eines Landes bzw. einer Universität die Chancen von Bewerbern auf eine Dissertationsbetreuung im Ausland </w:t>
      </w:r>
      <w:proofErr w:type="gramStart"/>
      <w:r w:rsidRPr="00FC055E">
        <w:rPr>
          <w:rFonts w:ascii="Arial" w:hAnsi="Arial" w:cs="Arial"/>
          <w:sz w:val="22"/>
          <w:szCs w:val="22"/>
        </w:rPr>
        <w:t>beeinflussen</w:t>
      </w:r>
      <w:proofErr w:type="gramEnd"/>
      <w:r w:rsidRPr="00FC055E">
        <w:rPr>
          <w:rFonts w:ascii="Arial" w:hAnsi="Arial" w:cs="Arial"/>
          <w:sz w:val="22"/>
          <w:szCs w:val="22"/>
        </w:rPr>
        <w:t xml:space="preserve"> und zwar unabhängig von der Leistungsstärke des relevanten Fachs.</w:t>
      </w:r>
      <w:r w:rsidR="00C449C1" w:rsidRPr="00FC055E">
        <w:rPr>
          <w:rStyle w:val="Funotenzeichen"/>
          <w:rFonts w:ascii="Arial" w:hAnsi="Arial" w:cs="Arial"/>
          <w:sz w:val="22"/>
          <w:szCs w:val="22"/>
        </w:rPr>
        <w:footnoteReference w:id="3"/>
      </w:r>
      <w:r w:rsidR="009D7CE1" w:rsidRPr="00FC055E">
        <w:rPr>
          <w:rFonts w:ascii="Arial" w:hAnsi="Arial" w:cs="Arial"/>
          <w:sz w:val="22"/>
          <w:szCs w:val="22"/>
        </w:rPr>
        <w:t xml:space="preserve"> </w:t>
      </w:r>
    </w:p>
    <w:p w14:paraId="636B55C3" w14:textId="03905856"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Wir </w:t>
      </w:r>
      <w:r w:rsidR="00C227FA" w:rsidRPr="00FC055E">
        <w:rPr>
          <w:rFonts w:ascii="Arial" w:hAnsi="Arial" w:cs="Arial"/>
          <w:sz w:val="22"/>
          <w:szCs w:val="22"/>
        </w:rPr>
        <w:t>skizzieren</w:t>
      </w:r>
      <w:r w:rsidR="00C227FA" w:rsidRPr="00FC055E" w:rsidDel="00C227FA">
        <w:rPr>
          <w:rFonts w:ascii="Arial" w:hAnsi="Arial" w:cs="Arial"/>
          <w:sz w:val="22"/>
          <w:szCs w:val="22"/>
        </w:rPr>
        <w:t xml:space="preserve"> </w:t>
      </w:r>
      <w:r w:rsidRPr="00FC055E">
        <w:rPr>
          <w:rFonts w:ascii="Arial" w:hAnsi="Arial" w:cs="Arial"/>
          <w:sz w:val="22"/>
          <w:szCs w:val="22"/>
        </w:rPr>
        <w:t xml:space="preserve">in einem ersten Schritt (Kapitel 1) den </w:t>
      </w:r>
      <w:r w:rsidR="00021FB1" w:rsidRPr="00FC055E">
        <w:rPr>
          <w:rFonts w:ascii="Arial" w:hAnsi="Arial" w:cs="Arial"/>
          <w:sz w:val="22"/>
          <w:szCs w:val="22"/>
        </w:rPr>
        <w:t xml:space="preserve">konzeptionellen </w:t>
      </w:r>
      <w:r w:rsidRPr="00FC055E">
        <w:rPr>
          <w:rFonts w:ascii="Arial" w:hAnsi="Arial" w:cs="Arial"/>
          <w:sz w:val="22"/>
          <w:szCs w:val="22"/>
        </w:rPr>
        <w:t xml:space="preserve">Rahmen </w:t>
      </w:r>
      <w:r w:rsidR="00021FB1" w:rsidRPr="00FC055E">
        <w:rPr>
          <w:rFonts w:ascii="Arial" w:hAnsi="Arial" w:cs="Arial"/>
          <w:sz w:val="22"/>
          <w:szCs w:val="22"/>
        </w:rPr>
        <w:t>mit Bezug auf die für unsere Studi</w:t>
      </w:r>
      <w:r w:rsidR="00C35210">
        <w:rPr>
          <w:rFonts w:ascii="Arial" w:hAnsi="Arial" w:cs="Arial"/>
          <w:sz w:val="22"/>
          <w:szCs w:val="22"/>
        </w:rPr>
        <w:t>e relevante Literatur</w:t>
      </w:r>
      <w:r w:rsidRPr="00FC055E">
        <w:rPr>
          <w:rFonts w:ascii="Arial" w:hAnsi="Arial" w:cs="Arial"/>
          <w:sz w:val="22"/>
          <w:szCs w:val="22"/>
        </w:rPr>
        <w:t>, um im zweiten Kapitel das empirische Vorgehen zu erläutern. Kapitel 3 ist der Darstellung der Ergebnisse gewidmet</w:t>
      </w:r>
      <w:r w:rsidR="0016608B">
        <w:rPr>
          <w:rFonts w:ascii="Arial" w:hAnsi="Arial" w:cs="Arial"/>
          <w:sz w:val="22"/>
          <w:szCs w:val="22"/>
        </w:rPr>
        <w:t>.</w:t>
      </w:r>
      <w:r w:rsidRPr="00FC055E">
        <w:rPr>
          <w:rFonts w:ascii="Arial" w:hAnsi="Arial" w:cs="Arial"/>
          <w:sz w:val="22"/>
          <w:szCs w:val="22"/>
        </w:rPr>
        <w:t xml:space="preserve"> </w:t>
      </w:r>
      <w:r w:rsidR="00C279DB">
        <w:rPr>
          <w:rFonts w:ascii="Arial" w:hAnsi="Arial" w:cs="Arial"/>
          <w:sz w:val="22"/>
          <w:szCs w:val="22"/>
        </w:rPr>
        <w:t>Wir</w:t>
      </w:r>
      <w:r w:rsidR="00C279DB" w:rsidRPr="00FC055E">
        <w:rPr>
          <w:rFonts w:ascii="Arial" w:hAnsi="Arial" w:cs="Arial"/>
          <w:sz w:val="22"/>
          <w:szCs w:val="22"/>
        </w:rPr>
        <w:t xml:space="preserve"> </w:t>
      </w:r>
      <w:r w:rsidRPr="00FC055E">
        <w:rPr>
          <w:rFonts w:ascii="Arial" w:hAnsi="Arial" w:cs="Arial"/>
          <w:sz w:val="22"/>
          <w:szCs w:val="22"/>
        </w:rPr>
        <w:t>analysieren, ob die Adressaten auf die Betreuungsanfrage geantwortet und einer Betreuung zugestimmt haben</w:t>
      </w:r>
      <w:r w:rsidR="00C279DB">
        <w:rPr>
          <w:rFonts w:ascii="Arial" w:hAnsi="Arial" w:cs="Arial"/>
          <w:sz w:val="22"/>
          <w:szCs w:val="22"/>
        </w:rPr>
        <w:t xml:space="preserve"> und </w:t>
      </w:r>
      <w:r w:rsidRPr="00FC055E">
        <w:rPr>
          <w:rFonts w:ascii="Arial" w:hAnsi="Arial" w:cs="Arial"/>
          <w:sz w:val="22"/>
          <w:szCs w:val="22"/>
        </w:rPr>
        <w:t>unterziehen d</w:t>
      </w:r>
      <w:r w:rsidR="00C35210">
        <w:rPr>
          <w:rFonts w:ascii="Arial" w:hAnsi="Arial" w:cs="Arial"/>
          <w:sz w:val="22"/>
          <w:szCs w:val="22"/>
        </w:rPr>
        <w:t>ie Antworten</w:t>
      </w:r>
      <w:r w:rsidRPr="00FC055E">
        <w:rPr>
          <w:rFonts w:ascii="Arial" w:hAnsi="Arial" w:cs="Arial"/>
          <w:sz w:val="22"/>
          <w:szCs w:val="22"/>
        </w:rPr>
        <w:t xml:space="preserve"> einer genaueren Inhaltsanalyse</w:t>
      </w:r>
      <w:r w:rsidR="00C279DB">
        <w:rPr>
          <w:rFonts w:ascii="Arial" w:hAnsi="Arial" w:cs="Arial"/>
          <w:sz w:val="22"/>
          <w:szCs w:val="22"/>
        </w:rPr>
        <w:t>.</w:t>
      </w:r>
      <w:r w:rsidRPr="00FC055E">
        <w:rPr>
          <w:rFonts w:ascii="Arial" w:hAnsi="Arial" w:cs="Arial"/>
          <w:sz w:val="22"/>
          <w:szCs w:val="22"/>
        </w:rPr>
        <w:t xml:space="preserve"> </w:t>
      </w:r>
    </w:p>
    <w:p w14:paraId="27C611F4" w14:textId="77777777" w:rsidR="00842757" w:rsidRPr="00FC055E" w:rsidRDefault="00842757" w:rsidP="00D00E20">
      <w:pPr>
        <w:spacing w:after="120" w:line="360" w:lineRule="auto"/>
        <w:jc w:val="both"/>
        <w:rPr>
          <w:rFonts w:ascii="Arial" w:hAnsi="Arial" w:cs="Arial"/>
          <w:sz w:val="22"/>
          <w:szCs w:val="22"/>
        </w:rPr>
      </w:pPr>
    </w:p>
    <w:p w14:paraId="74AB77A2" w14:textId="77777777" w:rsidR="003030C2" w:rsidRPr="00FC055E" w:rsidRDefault="00842757" w:rsidP="00D00E20">
      <w:pPr>
        <w:spacing w:after="120" w:line="360" w:lineRule="auto"/>
        <w:jc w:val="both"/>
        <w:rPr>
          <w:rFonts w:ascii="Arial" w:hAnsi="Arial" w:cs="Arial"/>
          <w:b/>
          <w:sz w:val="22"/>
          <w:szCs w:val="22"/>
        </w:rPr>
      </w:pPr>
      <w:r w:rsidRPr="00FC055E">
        <w:rPr>
          <w:rFonts w:ascii="Arial" w:hAnsi="Arial" w:cs="Arial"/>
          <w:b/>
          <w:sz w:val="22"/>
          <w:szCs w:val="22"/>
        </w:rPr>
        <w:lastRenderedPageBreak/>
        <w:t xml:space="preserve">1. </w:t>
      </w:r>
      <w:r w:rsidR="00021FB1" w:rsidRPr="00FC055E">
        <w:rPr>
          <w:rFonts w:ascii="Arial" w:hAnsi="Arial" w:cs="Arial"/>
          <w:b/>
          <w:sz w:val="22"/>
          <w:szCs w:val="22"/>
        </w:rPr>
        <w:t xml:space="preserve">Konzeptioneller Rahmen </w:t>
      </w:r>
    </w:p>
    <w:p w14:paraId="71197251" w14:textId="77777777" w:rsidR="003679CF" w:rsidRPr="00FC055E" w:rsidRDefault="00CC5FFD" w:rsidP="00D00E20">
      <w:pPr>
        <w:spacing w:after="120" w:line="360" w:lineRule="auto"/>
        <w:jc w:val="both"/>
        <w:rPr>
          <w:rFonts w:ascii="Arial" w:hAnsi="Arial" w:cs="Arial"/>
          <w:sz w:val="22"/>
          <w:szCs w:val="22"/>
        </w:rPr>
      </w:pPr>
      <w:r w:rsidRPr="00FC055E">
        <w:rPr>
          <w:rFonts w:ascii="Arial" w:hAnsi="Arial" w:cs="Arial"/>
          <w:sz w:val="22"/>
          <w:szCs w:val="22"/>
        </w:rPr>
        <w:t xml:space="preserve">In </w:t>
      </w:r>
      <w:r w:rsidR="00A27BA7" w:rsidRPr="00FC055E">
        <w:rPr>
          <w:rFonts w:ascii="Arial" w:hAnsi="Arial" w:cs="Arial"/>
          <w:sz w:val="22"/>
          <w:szCs w:val="22"/>
        </w:rPr>
        <w:t>den folgenden Abschnitten</w:t>
      </w:r>
      <w:r w:rsidRPr="00FC055E">
        <w:rPr>
          <w:rFonts w:ascii="Arial" w:hAnsi="Arial" w:cs="Arial"/>
          <w:sz w:val="22"/>
          <w:szCs w:val="22"/>
        </w:rPr>
        <w:t xml:space="preserve"> </w:t>
      </w:r>
      <w:r w:rsidR="00627D51" w:rsidRPr="00FC055E">
        <w:rPr>
          <w:rFonts w:ascii="Arial" w:hAnsi="Arial" w:cs="Arial"/>
          <w:sz w:val="22"/>
          <w:szCs w:val="22"/>
        </w:rPr>
        <w:t>beschreiben</w:t>
      </w:r>
      <w:r w:rsidRPr="00FC055E">
        <w:rPr>
          <w:rFonts w:ascii="Arial" w:hAnsi="Arial" w:cs="Arial"/>
          <w:sz w:val="22"/>
          <w:szCs w:val="22"/>
        </w:rPr>
        <w:t xml:space="preserve"> wir </w:t>
      </w:r>
      <w:r w:rsidR="00C227FA" w:rsidRPr="00FC055E">
        <w:rPr>
          <w:rFonts w:ascii="Arial" w:hAnsi="Arial" w:cs="Arial"/>
          <w:sz w:val="22"/>
          <w:szCs w:val="22"/>
        </w:rPr>
        <w:t>mit Bezug auf</w:t>
      </w:r>
      <w:r w:rsidRPr="00FC055E">
        <w:rPr>
          <w:rFonts w:ascii="Arial" w:hAnsi="Arial" w:cs="Arial"/>
          <w:sz w:val="22"/>
          <w:szCs w:val="22"/>
        </w:rPr>
        <w:t xml:space="preserve"> die </w:t>
      </w:r>
      <w:r w:rsidR="003679CF" w:rsidRPr="00FC055E">
        <w:rPr>
          <w:rFonts w:ascii="Arial" w:hAnsi="Arial" w:cs="Arial"/>
          <w:sz w:val="22"/>
          <w:szCs w:val="22"/>
        </w:rPr>
        <w:t>Arbeiten</w:t>
      </w:r>
      <w:r w:rsidRPr="00FC055E">
        <w:rPr>
          <w:rFonts w:ascii="Arial" w:hAnsi="Arial" w:cs="Arial"/>
          <w:sz w:val="22"/>
          <w:szCs w:val="22"/>
        </w:rPr>
        <w:t xml:space="preserve"> Pierre Bourdieus</w:t>
      </w:r>
      <w:r w:rsidR="00DD0699" w:rsidRPr="00FC055E">
        <w:rPr>
          <w:rFonts w:ascii="Arial" w:hAnsi="Arial" w:cs="Arial"/>
          <w:sz w:val="22"/>
          <w:szCs w:val="22"/>
        </w:rPr>
        <w:t xml:space="preserve"> zunächst</w:t>
      </w:r>
      <w:r w:rsidRPr="00FC055E">
        <w:rPr>
          <w:rFonts w:ascii="Arial" w:hAnsi="Arial" w:cs="Arial"/>
          <w:sz w:val="22"/>
          <w:szCs w:val="22"/>
        </w:rPr>
        <w:t xml:space="preserve"> die hierarchische Struktur des globalen Hochschulsystems</w:t>
      </w:r>
      <w:r w:rsidR="003679CF" w:rsidRPr="00FC055E">
        <w:rPr>
          <w:rFonts w:ascii="Arial" w:hAnsi="Arial" w:cs="Arial"/>
          <w:sz w:val="22"/>
          <w:szCs w:val="22"/>
        </w:rPr>
        <w:t xml:space="preserve"> (1</w:t>
      </w:r>
      <w:r w:rsidR="00DD0699" w:rsidRPr="00FC055E">
        <w:rPr>
          <w:rFonts w:ascii="Arial" w:hAnsi="Arial" w:cs="Arial"/>
          <w:sz w:val="22"/>
          <w:szCs w:val="22"/>
        </w:rPr>
        <w:t xml:space="preserve">). Wir </w:t>
      </w:r>
      <w:r w:rsidR="00C227FA" w:rsidRPr="00FC055E">
        <w:rPr>
          <w:rFonts w:ascii="Arial" w:hAnsi="Arial" w:cs="Arial"/>
          <w:sz w:val="22"/>
          <w:szCs w:val="22"/>
        </w:rPr>
        <w:t>wenden uns dann</w:t>
      </w:r>
      <w:r w:rsidRPr="00FC055E">
        <w:rPr>
          <w:rFonts w:ascii="Arial" w:hAnsi="Arial" w:cs="Arial"/>
          <w:sz w:val="22"/>
          <w:szCs w:val="22"/>
        </w:rPr>
        <w:t xml:space="preserve"> </w:t>
      </w:r>
      <w:r w:rsidR="00DD0699" w:rsidRPr="00FC055E">
        <w:rPr>
          <w:rFonts w:ascii="Arial" w:hAnsi="Arial" w:cs="Arial"/>
          <w:sz w:val="22"/>
          <w:szCs w:val="22"/>
        </w:rPr>
        <w:t>derjenigen Literatur zu, die die „</w:t>
      </w:r>
      <w:r w:rsidRPr="00FC055E">
        <w:rPr>
          <w:rFonts w:ascii="Arial" w:hAnsi="Arial" w:cs="Arial"/>
          <w:sz w:val="22"/>
          <w:szCs w:val="22"/>
        </w:rPr>
        <w:t>Renditen</w:t>
      </w:r>
      <w:r w:rsidR="00DD0699" w:rsidRPr="00FC055E">
        <w:rPr>
          <w:rFonts w:ascii="Arial" w:hAnsi="Arial" w:cs="Arial"/>
          <w:sz w:val="22"/>
          <w:szCs w:val="22"/>
        </w:rPr>
        <w:t>“,</w:t>
      </w:r>
      <w:r w:rsidRPr="00FC055E">
        <w:rPr>
          <w:rFonts w:ascii="Arial" w:hAnsi="Arial" w:cs="Arial"/>
          <w:sz w:val="22"/>
          <w:szCs w:val="22"/>
        </w:rPr>
        <w:t xml:space="preserve"> die </w:t>
      </w:r>
      <w:r w:rsidR="00D42DC3" w:rsidRPr="00FC055E">
        <w:rPr>
          <w:rFonts w:ascii="Arial" w:hAnsi="Arial" w:cs="Arial"/>
          <w:sz w:val="22"/>
          <w:szCs w:val="22"/>
        </w:rPr>
        <w:t xml:space="preserve">Abschlüsse von </w:t>
      </w:r>
      <w:r w:rsidR="00DD0699" w:rsidRPr="00FC055E">
        <w:rPr>
          <w:rFonts w:ascii="Arial" w:hAnsi="Arial" w:cs="Arial"/>
          <w:sz w:val="22"/>
          <w:szCs w:val="22"/>
        </w:rPr>
        <w:t xml:space="preserve">reputierlichen Universitäten </w:t>
      </w:r>
      <w:r w:rsidR="00D42DC3" w:rsidRPr="00FC055E">
        <w:rPr>
          <w:rFonts w:ascii="Arial" w:hAnsi="Arial" w:cs="Arial"/>
          <w:sz w:val="22"/>
          <w:szCs w:val="22"/>
        </w:rPr>
        <w:t>abwerfen</w:t>
      </w:r>
      <w:r w:rsidR="00DD0699" w:rsidRPr="00FC055E">
        <w:rPr>
          <w:rFonts w:ascii="Arial" w:hAnsi="Arial" w:cs="Arial"/>
          <w:sz w:val="22"/>
          <w:szCs w:val="22"/>
        </w:rPr>
        <w:t xml:space="preserve"> können, analysiert hat (2). Schließlich </w:t>
      </w:r>
      <w:r w:rsidR="003679CF" w:rsidRPr="00FC055E">
        <w:rPr>
          <w:rFonts w:ascii="Arial" w:hAnsi="Arial" w:cs="Arial"/>
          <w:sz w:val="22"/>
          <w:szCs w:val="22"/>
        </w:rPr>
        <w:t xml:space="preserve">beschreiben wir unter Rückgriff auf das Konzept der statistischen Diskriminierung, auf welche Weise das symbolische Kapital des Herkunftslands bzw. der Herkunftsuniversität </w:t>
      </w:r>
      <w:r w:rsidR="00C227FA" w:rsidRPr="00FC055E">
        <w:rPr>
          <w:rFonts w:ascii="Arial" w:hAnsi="Arial" w:cs="Arial"/>
          <w:sz w:val="22"/>
          <w:szCs w:val="22"/>
        </w:rPr>
        <w:t>die</w:t>
      </w:r>
      <w:r w:rsidR="003679CF" w:rsidRPr="00FC055E">
        <w:rPr>
          <w:rFonts w:ascii="Arial" w:hAnsi="Arial" w:cs="Arial"/>
          <w:sz w:val="22"/>
          <w:szCs w:val="22"/>
        </w:rPr>
        <w:t xml:space="preserve"> </w:t>
      </w:r>
      <w:r w:rsidR="00D42DC3" w:rsidRPr="00FC055E">
        <w:rPr>
          <w:rFonts w:ascii="Arial" w:hAnsi="Arial" w:cs="Arial"/>
          <w:sz w:val="22"/>
          <w:szCs w:val="22"/>
        </w:rPr>
        <w:t>international</w:t>
      </w:r>
      <w:r w:rsidR="00C227FA" w:rsidRPr="00FC055E">
        <w:rPr>
          <w:rFonts w:ascii="Arial" w:hAnsi="Arial" w:cs="Arial"/>
          <w:sz w:val="22"/>
          <w:szCs w:val="22"/>
        </w:rPr>
        <w:t>en</w:t>
      </w:r>
      <w:r w:rsidR="00D42DC3" w:rsidRPr="00FC055E">
        <w:rPr>
          <w:rFonts w:ascii="Arial" w:hAnsi="Arial" w:cs="Arial"/>
          <w:sz w:val="22"/>
          <w:szCs w:val="22"/>
        </w:rPr>
        <w:t xml:space="preserve"> </w:t>
      </w:r>
      <w:r w:rsidR="00C227FA" w:rsidRPr="00FC055E">
        <w:rPr>
          <w:rFonts w:ascii="Arial" w:hAnsi="Arial" w:cs="Arial"/>
          <w:sz w:val="22"/>
          <w:szCs w:val="22"/>
        </w:rPr>
        <w:t>Mobilitätschancen von</w:t>
      </w:r>
      <w:r w:rsidR="00D42DC3" w:rsidRPr="00FC055E">
        <w:rPr>
          <w:rFonts w:ascii="Arial" w:hAnsi="Arial" w:cs="Arial"/>
          <w:sz w:val="22"/>
          <w:szCs w:val="22"/>
        </w:rPr>
        <w:t xml:space="preserve"> </w:t>
      </w:r>
      <w:r w:rsidR="003679CF" w:rsidRPr="00FC055E">
        <w:rPr>
          <w:rFonts w:ascii="Arial" w:hAnsi="Arial" w:cs="Arial"/>
          <w:sz w:val="22"/>
          <w:szCs w:val="22"/>
        </w:rPr>
        <w:t xml:space="preserve">Doktoranden </w:t>
      </w:r>
      <w:r w:rsidR="00E47F1D" w:rsidRPr="00FC055E">
        <w:rPr>
          <w:rFonts w:ascii="Arial" w:hAnsi="Arial" w:cs="Arial"/>
          <w:sz w:val="22"/>
          <w:szCs w:val="22"/>
        </w:rPr>
        <w:t>beeinflussen k</w:t>
      </w:r>
      <w:r w:rsidR="00DD0699" w:rsidRPr="00FC055E">
        <w:rPr>
          <w:rFonts w:ascii="Arial" w:hAnsi="Arial" w:cs="Arial"/>
          <w:sz w:val="22"/>
          <w:szCs w:val="22"/>
        </w:rPr>
        <w:t xml:space="preserve">ann </w:t>
      </w:r>
      <w:r w:rsidR="00E47F1D" w:rsidRPr="00FC055E">
        <w:rPr>
          <w:rFonts w:ascii="Arial" w:hAnsi="Arial" w:cs="Arial"/>
          <w:sz w:val="22"/>
          <w:szCs w:val="22"/>
        </w:rPr>
        <w:t>(3).</w:t>
      </w:r>
    </w:p>
    <w:p w14:paraId="78437FFD" w14:textId="77777777" w:rsidR="00373C35" w:rsidRPr="00FC055E" w:rsidRDefault="00627D51" w:rsidP="00D00E20">
      <w:pPr>
        <w:spacing w:after="120" w:line="360" w:lineRule="auto"/>
        <w:jc w:val="both"/>
        <w:rPr>
          <w:rFonts w:ascii="Arial" w:hAnsi="Arial" w:cs="Arial"/>
          <w:sz w:val="22"/>
          <w:szCs w:val="22"/>
        </w:rPr>
      </w:pPr>
      <w:r w:rsidRPr="00FC055E">
        <w:rPr>
          <w:rFonts w:ascii="Arial" w:hAnsi="Arial" w:cs="Arial"/>
          <w:sz w:val="22"/>
          <w:szCs w:val="22"/>
        </w:rPr>
        <w:t xml:space="preserve">(1) </w:t>
      </w:r>
      <w:r w:rsidR="00BF1078" w:rsidRPr="00FC055E">
        <w:rPr>
          <w:rFonts w:ascii="Arial" w:hAnsi="Arial" w:cs="Arial"/>
          <w:sz w:val="22"/>
          <w:szCs w:val="22"/>
        </w:rPr>
        <w:t xml:space="preserve">Wir schließen mit unserer Studie an </w:t>
      </w:r>
      <w:r w:rsidR="00EE5979" w:rsidRPr="00FC055E">
        <w:rPr>
          <w:rFonts w:ascii="Arial" w:hAnsi="Arial" w:cs="Arial"/>
          <w:sz w:val="22"/>
          <w:szCs w:val="22"/>
        </w:rPr>
        <w:t xml:space="preserve">aktuelle </w:t>
      </w:r>
      <w:r w:rsidR="00BF1078" w:rsidRPr="00FC055E">
        <w:rPr>
          <w:rFonts w:ascii="Arial" w:hAnsi="Arial" w:cs="Arial"/>
          <w:sz w:val="22"/>
          <w:szCs w:val="22"/>
        </w:rPr>
        <w:t xml:space="preserve">Arbeiten zur Entstehung und </w:t>
      </w:r>
      <w:r w:rsidR="00EE5979" w:rsidRPr="00FC055E">
        <w:rPr>
          <w:rFonts w:ascii="Arial" w:hAnsi="Arial" w:cs="Arial"/>
          <w:sz w:val="22"/>
          <w:szCs w:val="22"/>
        </w:rPr>
        <w:t>Struktur</w:t>
      </w:r>
      <w:r w:rsidR="00BF1078" w:rsidRPr="00FC055E">
        <w:rPr>
          <w:rFonts w:ascii="Arial" w:hAnsi="Arial" w:cs="Arial"/>
          <w:sz w:val="22"/>
          <w:szCs w:val="22"/>
        </w:rPr>
        <w:t xml:space="preserve"> eines globalen Wissenschaftssystems an</w:t>
      </w:r>
      <w:r w:rsidR="00B370B4" w:rsidRPr="00FC055E">
        <w:rPr>
          <w:rFonts w:ascii="Arial" w:hAnsi="Arial" w:cs="Arial"/>
          <w:sz w:val="22"/>
          <w:szCs w:val="22"/>
        </w:rPr>
        <w:t xml:space="preserve"> </w:t>
      </w:r>
      <w:r w:rsidR="00B6478E">
        <w:rPr>
          <w:rFonts w:ascii="Arial" w:eastAsia="Times New Roman" w:hAnsi="Arial" w:cs="Arial"/>
          <w:sz w:val="22"/>
          <w:szCs w:val="22"/>
          <w:lang w:eastAsia="de-DE"/>
        </w:rPr>
        <w:t>(</w:t>
      </w:r>
      <w:proofErr w:type="spellStart"/>
      <w:r w:rsidR="00B6478E">
        <w:rPr>
          <w:rFonts w:ascii="Arial" w:eastAsia="Times New Roman" w:hAnsi="Arial" w:cs="Arial"/>
          <w:sz w:val="22"/>
          <w:szCs w:val="22"/>
          <w:lang w:eastAsia="de-DE"/>
        </w:rPr>
        <w:t>Marginson</w:t>
      </w:r>
      <w:proofErr w:type="spellEnd"/>
      <w:r w:rsidR="00B6478E">
        <w:rPr>
          <w:rFonts w:ascii="Arial" w:eastAsia="Times New Roman" w:hAnsi="Arial" w:cs="Arial"/>
          <w:sz w:val="22"/>
          <w:szCs w:val="22"/>
          <w:lang w:eastAsia="de-DE"/>
        </w:rPr>
        <w:t xml:space="preserve"> 2008, 2010; Münch 2011,</w:t>
      </w:r>
      <w:r w:rsidR="00B370B4" w:rsidRPr="00FC055E">
        <w:rPr>
          <w:rFonts w:ascii="Arial" w:eastAsia="Times New Roman" w:hAnsi="Arial" w:cs="Arial"/>
          <w:sz w:val="22"/>
          <w:szCs w:val="22"/>
          <w:lang w:eastAsia="de-DE"/>
        </w:rPr>
        <w:t xml:space="preserve"> 2015)</w:t>
      </w:r>
      <w:r w:rsidR="00EE5979" w:rsidRPr="00FC055E">
        <w:rPr>
          <w:rFonts w:ascii="Arial" w:hAnsi="Arial" w:cs="Arial"/>
          <w:sz w:val="22"/>
          <w:szCs w:val="22"/>
        </w:rPr>
        <w:t xml:space="preserve">, die in ihrer theoretischen Orientierung </w:t>
      </w:r>
      <w:r w:rsidR="00331F38" w:rsidRPr="00FC055E">
        <w:rPr>
          <w:rFonts w:ascii="Arial" w:hAnsi="Arial" w:cs="Arial"/>
          <w:sz w:val="22"/>
          <w:szCs w:val="22"/>
        </w:rPr>
        <w:t>einerseits</w:t>
      </w:r>
      <w:r w:rsidR="00EE5979" w:rsidRPr="00FC055E">
        <w:rPr>
          <w:rFonts w:ascii="Arial" w:hAnsi="Arial" w:cs="Arial"/>
          <w:sz w:val="22"/>
          <w:szCs w:val="22"/>
        </w:rPr>
        <w:t xml:space="preserve"> </w:t>
      </w:r>
      <w:r w:rsidR="00331F38" w:rsidRPr="00FC055E">
        <w:rPr>
          <w:rFonts w:ascii="Arial" w:hAnsi="Arial" w:cs="Arial"/>
          <w:sz w:val="22"/>
          <w:szCs w:val="22"/>
        </w:rPr>
        <w:t>an</w:t>
      </w:r>
      <w:r w:rsidR="00EE5979" w:rsidRPr="00FC055E">
        <w:rPr>
          <w:rFonts w:ascii="Arial" w:hAnsi="Arial" w:cs="Arial"/>
          <w:sz w:val="22"/>
          <w:szCs w:val="22"/>
        </w:rPr>
        <w:t xml:space="preserve"> Bourdieus </w:t>
      </w:r>
      <w:r w:rsidR="00B6478E">
        <w:rPr>
          <w:rFonts w:ascii="Arial" w:hAnsi="Arial" w:cs="Arial"/>
          <w:sz w:val="22"/>
          <w:szCs w:val="22"/>
        </w:rPr>
        <w:t>(1988, 1998,</w:t>
      </w:r>
      <w:r w:rsidR="002405D7" w:rsidRPr="00FC055E">
        <w:rPr>
          <w:rFonts w:ascii="Arial" w:hAnsi="Arial" w:cs="Arial"/>
          <w:sz w:val="22"/>
          <w:szCs w:val="22"/>
        </w:rPr>
        <w:t xml:space="preserve"> 2004) </w:t>
      </w:r>
      <w:r w:rsidR="00331F38" w:rsidRPr="00FC055E">
        <w:rPr>
          <w:rFonts w:ascii="Arial" w:hAnsi="Arial" w:cs="Arial"/>
          <w:sz w:val="22"/>
          <w:szCs w:val="22"/>
        </w:rPr>
        <w:t>Analysen des akademischen Feldes, andererseits an Konzepte der Weltsystemtheorie ank</w:t>
      </w:r>
      <w:r w:rsidR="005A2C87" w:rsidRPr="00FC055E">
        <w:rPr>
          <w:rFonts w:ascii="Arial" w:hAnsi="Arial" w:cs="Arial"/>
          <w:sz w:val="22"/>
          <w:szCs w:val="22"/>
        </w:rPr>
        <w:t>n</w:t>
      </w:r>
      <w:r w:rsidR="00331F38" w:rsidRPr="00FC055E">
        <w:rPr>
          <w:rFonts w:ascii="Arial" w:hAnsi="Arial" w:cs="Arial"/>
          <w:sz w:val="22"/>
          <w:szCs w:val="22"/>
        </w:rPr>
        <w:t>üpfen und beide Theoriestränge miteinander verbinden</w:t>
      </w:r>
      <w:r w:rsidR="00EE5979" w:rsidRPr="00FC055E">
        <w:rPr>
          <w:rFonts w:ascii="Arial" w:hAnsi="Arial" w:cs="Arial"/>
          <w:sz w:val="22"/>
          <w:szCs w:val="22"/>
        </w:rPr>
        <w:t xml:space="preserve">. </w:t>
      </w:r>
    </w:p>
    <w:p w14:paraId="0C813522" w14:textId="0019B4D8" w:rsidR="00006C2D" w:rsidRPr="00FC055E" w:rsidRDefault="00EE5979" w:rsidP="003C7878">
      <w:pPr>
        <w:spacing w:after="120" w:line="360" w:lineRule="auto"/>
        <w:jc w:val="both"/>
        <w:rPr>
          <w:rFonts w:ascii="Arial" w:eastAsia="Times New Roman" w:hAnsi="Arial" w:cs="Arial"/>
          <w:sz w:val="22"/>
          <w:szCs w:val="22"/>
          <w:lang w:eastAsia="de-DE"/>
        </w:rPr>
      </w:pPr>
      <w:r w:rsidRPr="00FC055E">
        <w:rPr>
          <w:rFonts w:ascii="Arial" w:hAnsi="Arial" w:cs="Arial"/>
          <w:sz w:val="22"/>
          <w:szCs w:val="22"/>
        </w:rPr>
        <w:t xml:space="preserve">Bekanntermaßen analysiert Bourdieu das französische Hochschulsystem als ein </w:t>
      </w:r>
      <w:r w:rsidR="00EF6AA5" w:rsidRPr="00FC055E">
        <w:rPr>
          <w:rFonts w:ascii="Arial" w:hAnsi="Arial" w:cs="Arial"/>
          <w:sz w:val="22"/>
          <w:szCs w:val="22"/>
        </w:rPr>
        <w:t xml:space="preserve">ausdifferenziertes </w:t>
      </w:r>
      <w:r w:rsidRPr="00FC055E">
        <w:rPr>
          <w:rFonts w:ascii="Arial" w:hAnsi="Arial" w:cs="Arial"/>
          <w:sz w:val="22"/>
          <w:szCs w:val="22"/>
        </w:rPr>
        <w:t xml:space="preserve">soziales Feld, innerhalb dessen </w:t>
      </w:r>
      <w:r w:rsidR="00331F38" w:rsidRPr="00FC055E">
        <w:rPr>
          <w:rFonts w:ascii="Arial" w:hAnsi="Arial" w:cs="Arial"/>
          <w:sz w:val="22"/>
          <w:szCs w:val="22"/>
        </w:rPr>
        <w:t>verschiedene</w:t>
      </w:r>
      <w:r w:rsidRPr="00FC055E">
        <w:rPr>
          <w:rFonts w:ascii="Arial" w:hAnsi="Arial" w:cs="Arial"/>
          <w:sz w:val="22"/>
          <w:szCs w:val="22"/>
        </w:rPr>
        <w:t xml:space="preserve"> Akteure </w:t>
      </w:r>
      <w:r w:rsidR="00CA515E">
        <w:rPr>
          <w:rFonts w:ascii="Arial" w:hAnsi="Arial" w:cs="Arial"/>
          <w:sz w:val="22"/>
          <w:szCs w:val="22"/>
        </w:rPr>
        <w:t xml:space="preserve">- </w:t>
      </w:r>
      <w:r w:rsidRPr="00FC055E">
        <w:rPr>
          <w:rFonts w:ascii="Arial" w:hAnsi="Arial" w:cs="Arial"/>
          <w:sz w:val="22"/>
          <w:szCs w:val="22"/>
        </w:rPr>
        <w:t>Studieren</w:t>
      </w:r>
      <w:r w:rsidR="002405D7" w:rsidRPr="00FC055E">
        <w:rPr>
          <w:rFonts w:ascii="Arial" w:hAnsi="Arial" w:cs="Arial"/>
          <w:sz w:val="22"/>
          <w:szCs w:val="22"/>
        </w:rPr>
        <w:t xml:space="preserve">de, </w:t>
      </w:r>
      <w:r w:rsidRPr="00FC055E">
        <w:rPr>
          <w:rFonts w:ascii="Arial" w:hAnsi="Arial" w:cs="Arial"/>
          <w:sz w:val="22"/>
          <w:szCs w:val="22"/>
        </w:rPr>
        <w:t>Wissenschaftler</w:t>
      </w:r>
      <w:r w:rsidR="003A79C0" w:rsidRPr="00FC055E">
        <w:rPr>
          <w:rFonts w:ascii="Arial" w:hAnsi="Arial" w:cs="Arial"/>
          <w:sz w:val="22"/>
          <w:szCs w:val="22"/>
        </w:rPr>
        <w:t xml:space="preserve"> und </w:t>
      </w:r>
      <w:r w:rsidR="002405D7" w:rsidRPr="00FC055E">
        <w:rPr>
          <w:rFonts w:ascii="Arial" w:hAnsi="Arial" w:cs="Arial"/>
          <w:sz w:val="22"/>
          <w:szCs w:val="22"/>
        </w:rPr>
        <w:t>Universitäten</w:t>
      </w:r>
      <w:r w:rsidRPr="00FC055E">
        <w:rPr>
          <w:rFonts w:ascii="Arial" w:hAnsi="Arial" w:cs="Arial"/>
          <w:sz w:val="22"/>
          <w:szCs w:val="22"/>
        </w:rPr>
        <w:t xml:space="preserve"> </w:t>
      </w:r>
      <w:r w:rsidR="00CA515E">
        <w:rPr>
          <w:rFonts w:ascii="Arial" w:hAnsi="Arial" w:cs="Arial"/>
          <w:sz w:val="22"/>
          <w:szCs w:val="22"/>
        </w:rPr>
        <w:t xml:space="preserve">- </w:t>
      </w:r>
      <w:r w:rsidR="005A2C87" w:rsidRPr="00FC055E">
        <w:rPr>
          <w:rFonts w:ascii="Arial" w:hAnsi="Arial" w:cs="Arial"/>
          <w:sz w:val="22"/>
          <w:szCs w:val="22"/>
        </w:rPr>
        <w:t xml:space="preserve">darum </w:t>
      </w:r>
      <w:r w:rsidR="00B16A33" w:rsidRPr="00FC055E">
        <w:rPr>
          <w:rFonts w:ascii="Arial" w:hAnsi="Arial" w:cs="Arial"/>
          <w:sz w:val="22"/>
          <w:szCs w:val="22"/>
        </w:rPr>
        <w:t>bemüht sind, ihre eigene Position in Relation zu anderen Akteuren zu verbessern</w:t>
      </w:r>
      <w:r w:rsidR="004E4E4F" w:rsidRPr="00FC055E">
        <w:rPr>
          <w:rFonts w:ascii="Arial" w:hAnsi="Arial" w:cs="Arial"/>
          <w:sz w:val="22"/>
          <w:szCs w:val="22"/>
        </w:rPr>
        <w:t xml:space="preserve">. </w:t>
      </w:r>
      <w:r w:rsidR="003A79C0" w:rsidRPr="00FC055E">
        <w:rPr>
          <w:rFonts w:ascii="Arial" w:eastAsia="Times New Roman" w:hAnsi="Arial" w:cs="Arial"/>
          <w:sz w:val="22"/>
          <w:szCs w:val="22"/>
          <w:lang w:eastAsia="de-DE"/>
        </w:rPr>
        <w:t>Hierbei geht es insbesondere um den Erwerb von</w:t>
      </w:r>
      <w:r w:rsidR="00942891" w:rsidRPr="00FC055E">
        <w:rPr>
          <w:rFonts w:ascii="Arial" w:hAnsi="Arial" w:cs="Arial"/>
          <w:sz w:val="22"/>
          <w:szCs w:val="22"/>
        </w:rPr>
        <w:t xml:space="preserve"> „symbolische</w:t>
      </w:r>
      <w:r w:rsidR="003A79C0" w:rsidRPr="00FC055E">
        <w:rPr>
          <w:rFonts w:ascii="Arial" w:hAnsi="Arial" w:cs="Arial"/>
          <w:sz w:val="22"/>
          <w:szCs w:val="22"/>
        </w:rPr>
        <w:t>m</w:t>
      </w:r>
      <w:r w:rsidR="00942891" w:rsidRPr="00FC055E">
        <w:rPr>
          <w:rFonts w:ascii="Arial" w:hAnsi="Arial" w:cs="Arial"/>
          <w:sz w:val="22"/>
          <w:szCs w:val="22"/>
        </w:rPr>
        <w:t xml:space="preserve"> Kapital“</w:t>
      </w:r>
      <w:r w:rsidR="00CA515E">
        <w:rPr>
          <w:rFonts w:ascii="Arial" w:hAnsi="Arial" w:cs="Arial"/>
          <w:sz w:val="22"/>
          <w:szCs w:val="22"/>
        </w:rPr>
        <w:t xml:space="preserve">, um </w:t>
      </w:r>
      <w:r w:rsidR="00942891" w:rsidRPr="00FC055E">
        <w:rPr>
          <w:rFonts w:ascii="Arial" w:hAnsi="Arial" w:cs="Arial"/>
          <w:sz w:val="22"/>
          <w:szCs w:val="22"/>
        </w:rPr>
        <w:t xml:space="preserve">soziale Anerkennung oder Reputation, die einem Akteur aufgrund seiner </w:t>
      </w:r>
      <w:r w:rsidR="00DF7DAD" w:rsidRPr="00FC055E">
        <w:rPr>
          <w:rFonts w:ascii="Arial" w:hAnsi="Arial" w:cs="Arial"/>
          <w:sz w:val="22"/>
          <w:szCs w:val="22"/>
        </w:rPr>
        <w:t>Stellung</w:t>
      </w:r>
      <w:r w:rsidR="00942891" w:rsidRPr="00FC055E">
        <w:rPr>
          <w:rFonts w:ascii="Arial" w:hAnsi="Arial" w:cs="Arial"/>
          <w:sz w:val="22"/>
          <w:szCs w:val="22"/>
        </w:rPr>
        <w:t xml:space="preserve"> im Feld zuerkannt wird. </w:t>
      </w:r>
      <w:r w:rsidR="005A2C87" w:rsidRPr="00FC055E">
        <w:rPr>
          <w:rFonts w:ascii="Arial" w:hAnsi="Arial" w:cs="Arial"/>
          <w:sz w:val="22"/>
          <w:szCs w:val="22"/>
        </w:rPr>
        <w:t xml:space="preserve">Symbolisches Kapital </w:t>
      </w:r>
      <w:r w:rsidR="00EF14B3" w:rsidRPr="00FC055E">
        <w:rPr>
          <w:rFonts w:ascii="Arial" w:hAnsi="Arial" w:cs="Arial"/>
          <w:sz w:val="22"/>
          <w:szCs w:val="22"/>
        </w:rPr>
        <w:t xml:space="preserve">kann </w:t>
      </w:r>
      <w:r w:rsidR="00F82D33" w:rsidRPr="00FC055E">
        <w:rPr>
          <w:rFonts w:ascii="Arial" w:hAnsi="Arial" w:cs="Arial"/>
          <w:sz w:val="22"/>
          <w:szCs w:val="22"/>
        </w:rPr>
        <w:t>im Feld der Wissenschaft</w:t>
      </w:r>
      <w:r w:rsidR="00EF14B3" w:rsidRPr="00FC055E">
        <w:rPr>
          <w:rFonts w:ascii="Arial" w:hAnsi="Arial" w:cs="Arial"/>
          <w:sz w:val="22"/>
          <w:szCs w:val="22"/>
        </w:rPr>
        <w:t xml:space="preserve"> aufgrund exzellenter Forschungsleistungen als auch institutioneller Affiliation </w:t>
      </w:r>
      <w:r w:rsidR="005E0ED9" w:rsidRPr="00FC055E">
        <w:rPr>
          <w:rFonts w:ascii="Arial" w:hAnsi="Arial" w:cs="Arial"/>
          <w:sz w:val="22"/>
          <w:szCs w:val="22"/>
        </w:rPr>
        <w:t>errungen werden.</w:t>
      </w:r>
      <w:r w:rsidR="00CA515E">
        <w:rPr>
          <w:rFonts w:ascii="Arial" w:hAnsi="Arial" w:cs="Arial"/>
          <w:sz w:val="22"/>
          <w:szCs w:val="22"/>
        </w:rPr>
        <w:t xml:space="preserve"> </w:t>
      </w:r>
      <w:r w:rsidR="00F0616F" w:rsidRPr="00FC055E">
        <w:rPr>
          <w:rFonts w:ascii="Arial" w:hAnsi="Arial" w:cs="Arial"/>
          <w:sz w:val="22"/>
          <w:szCs w:val="22"/>
        </w:rPr>
        <w:t>Im stark vertikal gegliederten französischen Hochschulsystem</w:t>
      </w:r>
      <w:r w:rsidR="00AC48CE" w:rsidRPr="00FC055E">
        <w:rPr>
          <w:rFonts w:ascii="Arial" w:hAnsi="Arial" w:cs="Arial"/>
          <w:sz w:val="22"/>
          <w:szCs w:val="22"/>
        </w:rPr>
        <w:t>, das Bourdieu beschreibt,</w:t>
      </w:r>
      <w:r w:rsidR="00F0616F" w:rsidRPr="00FC055E">
        <w:rPr>
          <w:rFonts w:ascii="Arial" w:hAnsi="Arial" w:cs="Arial"/>
          <w:sz w:val="22"/>
          <w:szCs w:val="22"/>
        </w:rPr>
        <w:t xml:space="preserve"> sind vor allem die </w:t>
      </w:r>
      <w:r w:rsidR="008C22C7" w:rsidRPr="00FC055E">
        <w:rPr>
          <w:rFonts w:ascii="Arial" w:hAnsi="Arial" w:cs="Arial"/>
          <w:sz w:val="22"/>
          <w:szCs w:val="22"/>
        </w:rPr>
        <w:t xml:space="preserve">sozial </w:t>
      </w:r>
      <w:r w:rsidR="00EB01A2" w:rsidRPr="00FC055E">
        <w:rPr>
          <w:rFonts w:ascii="Arial" w:hAnsi="Arial" w:cs="Arial"/>
          <w:sz w:val="22"/>
          <w:szCs w:val="22"/>
        </w:rPr>
        <w:t>e</w:t>
      </w:r>
      <w:r w:rsidR="008C22C7" w:rsidRPr="00FC055E">
        <w:rPr>
          <w:rFonts w:ascii="Arial" w:hAnsi="Arial" w:cs="Arial"/>
          <w:sz w:val="22"/>
          <w:szCs w:val="22"/>
        </w:rPr>
        <w:t>xkl</w:t>
      </w:r>
      <w:r w:rsidR="00EB01A2" w:rsidRPr="00FC055E">
        <w:rPr>
          <w:rFonts w:ascii="Arial" w:hAnsi="Arial" w:cs="Arial"/>
          <w:sz w:val="22"/>
          <w:szCs w:val="22"/>
        </w:rPr>
        <w:t>u</w:t>
      </w:r>
      <w:r w:rsidR="008C22C7" w:rsidRPr="00FC055E">
        <w:rPr>
          <w:rFonts w:ascii="Arial" w:hAnsi="Arial" w:cs="Arial"/>
          <w:sz w:val="22"/>
          <w:szCs w:val="22"/>
        </w:rPr>
        <w:t>s</w:t>
      </w:r>
      <w:r w:rsidR="00EB01A2" w:rsidRPr="00FC055E">
        <w:rPr>
          <w:rFonts w:ascii="Arial" w:hAnsi="Arial" w:cs="Arial"/>
          <w:sz w:val="22"/>
          <w:szCs w:val="22"/>
        </w:rPr>
        <w:t>iven</w:t>
      </w:r>
      <w:r w:rsidR="00F0616F" w:rsidRPr="00FC055E">
        <w:rPr>
          <w:rFonts w:ascii="Arial" w:hAnsi="Arial" w:cs="Arial"/>
          <w:sz w:val="22"/>
          <w:szCs w:val="22"/>
        </w:rPr>
        <w:t xml:space="preserve"> </w:t>
      </w:r>
      <w:r w:rsidR="00AC48CE" w:rsidRPr="00FC055E">
        <w:rPr>
          <w:rFonts w:ascii="Arial" w:hAnsi="Arial" w:cs="Arial"/>
          <w:sz w:val="22"/>
          <w:szCs w:val="22"/>
        </w:rPr>
        <w:t xml:space="preserve">Elitehochschulen </w:t>
      </w:r>
      <w:r w:rsidR="00F0616F" w:rsidRPr="00FC055E">
        <w:rPr>
          <w:rFonts w:ascii="Arial" w:hAnsi="Arial" w:cs="Arial"/>
          <w:sz w:val="22"/>
          <w:szCs w:val="22"/>
        </w:rPr>
        <w:t>an der Spitze des Feldes in der Lage, symbolisches Kapital z</w:t>
      </w:r>
      <w:r w:rsidR="00DF7DAD" w:rsidRPr="00FC055E">
        <w:rPr>
          <w:rFonts w:ascii="Arial" w:hAnsi="Arial" w:cs="Arial"/>
          <w:sz w:val="22"/>
          <w:szCs w:val="22"/>
        </w:rPr>
        <w:t>u akkumulieren und zu verleihen</w:t>
      </w:r>
      <w:r w:rsidR="00EF6AA5" w:rsidRPr="00FC055E">
        <w:rPr>
          <w:rFonts w:ascii="Arial" w:hAnsi="Arial" w:cs="Arial"/>
          <w:sz w:val="22"/>
          <w:szCs w:val="22"/>
        </w:rPr>
        <w:t xml:space="preserve">. </w:t>
      </w:r>
      <w:r w:rsidR="00DF7DAD" w:rsidRPr="00FC055E">
        <w:rPr>
          <w:rFonts w:ascii="Arial" w:hAnsi="Arial" w:cs="Arial"/>
          <w:sz w:val="22"/>
          <w:szCs w:val="22"/>
        </w:rPr>
        <w:t>Die von</w:t>
      </w:r>
      <w:r w:rsidR="00EB01A2" w:rsidRPr="00FC055E">
        <w:rPr>
          <w:rFonts w:ascii="Arial" w:hAnsi="Arial" w:cs="Arial"/>
          <w:sz w:val="22"/>
          <w:szCs w:val="22"/>
        </w:rPr>
        <w:t xml:space="preserve"> ihnen vergebenen Titel wirken</w:t>
      </w:r>
      <w:r w:rsidR="00B10BBB" w:rsidRPr="00FC055E">
        <w:rPr>
          <w:rFonts w:ascii="Arial" w:hAnsi="Arial" w:cs="Arial"/>
          <w:sz w:val="22"/>
          <w:szCs w:val="22"/>
        </w:rPr>
        <w:t xml:space="preserve"> für die </w:t>
      </w:r>
      <w:proofErr w:type="gramStart"/>
      <w:r w:rsidR="00B10BBB" w:rsidRPr="00FC055E">
        <w:rPr>
          <w:rFonts w:ascii="Arial" w:hAnsi="Arial" w:cs="Arial"/>
          <w:sz w:val="22"/>
          <w:szCs w:val="22"/>
        </w:rPr>
        <w:t>Absolventen</w:t>
      </w:r>
      <w:r w:rsidR="00EB01A2" w:rsidRPr="00FC055E">
        <w:rPr>
          <w:rFonts w:ascii="Arial" w:hAnsi="Arial" w:cs="Arial"/>
          <w:sz w:val="22"/>
          <w:szCs w:val="22"/>
        </w:rPr>
        <w:t xml:space="preserve"> gewissermaßen</w:t>
      </w:r>
      <w:proofErr w:type="gramEnd"/>
      <w:r w:rsidR="00EB01A2" w:rsidRPr="00FC055E">
        <w:rPr>
          <w:rFonts w:ascii="Arial" w:hAnsi="Arial" w:cs="Arial"/>
          <w:sz w:val="22"/>
          <w:szCs w:val="22"/>
        </w:rPr>
        <w:t xml:space="preserve"> wie Adelsprädikate in der Konkurrenz um soziale Positionen in der Wissenschaft oder </w:t>
      </w:r>
      <w:r w:rsidR="0016608B">
        <w:rPr>
          <w:rFonts w:ascii="Arial" w:hAnsi="Arial" w:cs="Arial"/>
          <w:sz w:val="22"/>
          <w:szCs w:val="22"/>
        </w:rPr>
        <w:t>auf dem</w:t>
      </w:r>
      <w:r w:rsidR="00CA515E">
        <w:rPr>
          <w:rFonts w:ascii="Arial" w:hAnsi="Arial" w:cs="Arial"/>
          <w:sz w:val="22"/>
          <w:szCs w:val="22"/>
        </w:rPr>
        <w:t xml:space="preserve"> außeruniversitären </w:t>
      </w:r>
      <w:r w:rsidR="00EB01A2" w:rsidRPr="00FC055E">
        <w:rPr>
          <w:rFonts w:ascii="Arial" w:hAnsi="Arial" w:cs="Arial"/>
          <w:sz w:val="22"/>
          <w:szCs w:val="22"/>
        </w:rPr>
        <w:t>Arbeitsmark</w:t>
      </w:r>
      <w:r w:rsidR="00B370B4" w:rsidRPr="00FC055E">
        <w:rPr>
          <w:rFonts w:ascii="Arial" w:hAnsi="Arial" w:cs="Arial"/>
          <w:sz w:val="22"/>
          <w:szCs w:val="22"/>
        </w:rPr>
        <w:t>t.</w:t>
      </w:r>
    </w:p>
    <w:p w14:paraId="53E00C9A" w14:textId="7DB56EC8" w:rsidR="007B540C" w:rsidRPr="00FC055E" w:rsidRDefault="00BF1078" w:rsidP="00D00E20">
      <w:pPr>
        <w:spacing w:after="120" w:line="360" w:lineRule="auto"/>
        <w:jc w:val="both"/>
        <w:rPr>
          <w:rFonts w:ascii="Arial" w:eastAsia="Times New Roman" w:hAnsi="Arial" w:cs="Arial"/>
          <w:sz w:val="22"/>
          <w:szCs w:val="22"/>
          <w:lang w:eastAsia="de-DE"/>
        </w:rPr>
      </w:pPr>
      <w:r w:rsidRPr="00FC055E">
        <w:rPr>
          <w:rFonts w:ascii="Arial" w:eastAsia="Times New Roman" w:hAnsi="Arial" w:cs="Arial"/>
          <w:sz w:val="22"/>
          <w:szCs w:val="22"/>
          <w:lang w:eastAsia="de-DE"/>
        </w:rPr>
        <w:t xml:space="preserve">Bourdieus Studien zum universitären Feld </w:t>
      </w:r>
      <w:r w:rsidR="00CA515E">
        <w:rPr>
          <w:rFonts w:ascii="Arial" w:eastAsia="Times New Roman" w:hAnsi="Arial" w:cs="Arial"/>
          <w:sz w:val="22"/>
          <w:szCs w:val="22"/>
          <w:lang w:eastAsia="de-DE"/>
        </w:rPr>
        <w:t xml:space="preserve">bleiben insofern </w:t>
      </w:r>
      <w:r w:rsidRPr="00FC055E">
        <w:rPr>
          <w:rFonts w:ascii="Arial" w:eastAsia="Times New Roman" w:hAnsi="Arial" w:cs="Arial"/>
          <w:sz w:val="22"/>
          <w:szCs w:val="22"/>
          <w:lang w:eastAsia="de-DE"/>
        </w:rPr>
        <w:t>einem methodologischen Nationalismus</w:t>
      </w:r>
      <w:r w:rsidR="007B540C" w:rsidRPr="00FC055E">
        <w:rPr>
          <w:rFonts w:ascii="Arial" w:eastAsia="Times New Roman" w:hAnsi="Arial" w:cs="Arial"/>
          <w:sz w:val="22"/>
          <w:szCs w:val="22"/>
          <w:lang w:eastAsia="de-DE"/>
        </w:rPr>
        <w:t xml:space="preserve"> verhaftet</w:t>
      </w:r>
      <w:r w:rsidRPr="00FC055E">
        <w:rPr>
          <w:rFonts w:ascii="Arial" w:eastAsia="Times New Roman" w:hAnsi="Arial" w:cs="Arial"/>
          <w:sz w:val="22"/>
          <w:szCs w:val="22"/>
          <w:lang w:eastAsia="de-DE"/>
        </w:rPr>
        <w:t xml:space="preserve">, </w:t>
      </w:r>
      <w:r w:rsidR="00CA515E">
        <w:rPr>
          <w:rFonts w:ascii="Arial" w:eastAsia="Times New Roman" w:hAnsi="Arial" w:cs="Arial"/>
          <w:sz w:val="22"/>
          <w:szCs w:val="22"/>
          <w:lang w:eastAsia="de-DE"/>
        </w:rPr>
        <w:t xml:space="preserve">als </w:t>
      </w:r>
      <w:r w:rsidR="00F65FCE">
        <w:rPr>
          <w:rFonts w:ascii="Arial" w:eastAsia="Times New Roman" w:hAnsi="Arial" w:cs="Arial"/>
          <w:sz w:val="22"/>
          <w:szCs w:val="22"/>
          <w:lang w:eastAsia="de-DE"/>
        </w:rPr>
        <w:t xml:space="preserve">sie </w:t>
      </w:r>
      <w:r w:rsidR="00CA515E">
        <w:rPr>
          <w:rFonts w:ascii="Arial" w:eastAsia="Times New Roman" w:hAnsi="Arial" w:cs="Arial"/>
          <w:sz w:val="22"/>
          <w:szCs w:val="22"/>
          <w:lang w:eastAsia="de-DE"/>
        </w:rPr>
        <w:t xml:space="preserve">allein </w:t>
      </w:r>
      <w:r w:rsidR="007B540C" w:rsidRPr="00FC055E">
        <w:rPr>
          <w:rFonts w:ascii="Arial" w:eastAsia="Times New Roman" w:hAnsi="Arial" w:cs="Arial"/>
          <w:sz w:val="22"/>
          <w:szCs w:val="22"/>
          <w:lang w:eastAsia="de-DE"/>
        </w:rPr>
        <w:t xml:space="preserve">die </w:t>
      </w:r>
      <w:r w:rsidR="00D45056" w:rsidRPr="00FC055E">
        <w:rPr>
          <w:rFonts w:ascii="Arial" w:eastAsia="Times New Roman" w:hAnsi="Arial" w:cs="Arial"/>
          <w:sz w:val="22"/>
          <w:szCs w:val="22"/>
          <w:lang w:eastAsia="de-DE"/>
        </w:rPr>
        <w:t xml:space="preserve">hierarchische </w:t>
      </w:r>
      <w:r w:rsidR="007B540C" w:rsidRPr="00FC055E">
        <w:rPr>
          <w:rFonts w:ascii="Arial" w:eastAsia="Times New Roman" w:hAnsi="Arial" w:cs="Arial"/>
          <w:sz w:val="22"/>
          <w:szCs w:val="22"/>
          <w:lang w:eastAsia="de-DE"/>
        </w:rPr>
        <w:t>Struktur</w:t>
      </w:r>
      <w:r w:rsidR="00D45056" w:rsidRPr="00FC055E">
        <w:rPr>
          <w:rFonts w:ascii="Arial" w:eastAsia="Times New Roman" w:hAnsi="Arial" w:cs="Arial"/>
          <w:sz w:val="22"/>
          <w:szCs w:val="22"/>
          <w:lang w:eastAsia="de-DE"/>
        </w:rPr>
        <w:t>ierung</w:t>
      </w:r>
      <w:r w:rsidR="007B540C" w:rsidRPr="00FC055E">
        <w:rPr>
          <w:rFonts w:ascii="Arial" w:eastAsia="Times New Roman" w:hAnsi="Arial" w:cs="Arial"/>
          <w:sz w:val="22"/>
          <w:szCs w:val="22"/>
          <w:lang w:eastAsia="de-DE"/>
        </w:rPr>
        <w:t xml:space="preserve"> und </w:t>
      </w:r>
      <w:r w:rsidR="00D45056" w:rsidRPr="00FC055E">
        <w:rPr>
          <w:rFonts w:ascii="Arial" w:eastAsia="Times New Roman" w:hAnsi="Arial" w:cs="Arial"/>
          <w:sz w:val="22"/>
          <w:szCs w:val="22"/>
          <w:lang w:eastAsia="de-DE"/>
        </w:rPr>
        <w:t xml:space="preserve">die </w:t>
      </w:r>
      <w:r w:rsidR="007B540C" w:rsidRPr="00FC055E">
        <w:rPr>
          <w:rFonts w:ascii="Arial" w:eastAsia="Times New Roman" w:hAnsi="Arial" w:cs="Arial"/>
          <w:sz w:val="22"/>
          <w:szCs w:val="22"/>
          <w:lang w:eastAsia="de-DE"/>
        </w:rPr>
        <w:t>Positionskämpfe innerhalb des</w:t>
      </w:r>
      <w:r w:rsidR="00032DDC" w:rsidRPr="00FC055E">
        <w:rPr>
          <w:rFonts w:ascii="Arial" w:eastAsia="Times New Roman" w:hAnsi="Arial" w:cs="Arial"/>
          <w:sz w:val="22"/>
          <w:szCs w:val="22"/>
          <w:lang w:eastAsia="de-DE"/>
        </w:rPr>
        <w:t xml:space="preserve"> französischen </w:t>
      </w:r>
      <w:r w:rsidR="007B540C" w:rsidRPr="00FC055E">
        <w:rPr>
          <w:rFonts w:ascii="Arial" w:eastAsia="Times New Roman" w:hAnsi="Arial" w:cs="Arial"/>
          <w:sz w:val="22"/>
          <w:szCs w:val="22"/>
          <w:lang w:eastAsia="de-DE"/>
        </w:rPr>
        <w:t>Hochschulsystems</w:t>
      </w:r>
      <w:r w:rsidR="00CA515E">
        <w:rPr>
          <w:rFonts w:ascii="Arial" w:eastAsia="Times New Roman" w:hAnsi="Arial" w:cs="Arial"/>
          <w:sz w:val="22"/>
          <w:szCs w:val="22"/>
          <w:lang w:eastAsia="de-DE"/>
        </w:rPr>
        <w:t xml:space="preserve"> rekonstruieren</w:t>
      </w:r>
      <w:r w:rsidR="007B540C" w:rsidRPr="00FC055E">
        <w:rPr>
          <w:rFonts w:ascii="Arial" w:eastAsia="Times New Roman" w:hAnsi="Arial" w:cs="Arial"/>
          <w:sz w:val="22"/>
          <w:szCs w:val="22"/>
          <w:lang w:eastAsia="de-DE"/>
        </w:rPr>
        <w:t xml:space="preserve">, ohne die in den letzten Jahrzehnten stark zunehmende Internationalisierung von Hochschulbildung und Wissenschaft zu berücksichtigen. Um </w:t>
      </w:r>
      <w:r w:rsidR="00065203" w:rsidRPr="00FC055E">
        <w:rPr>
          <w:rFonts w:ascii="Arial" w:eastAsia="Times New Roman" w:hAnsi="Arial" w:cs="Arial"/>
          <w:sz w:val="22"/>
          <w:szCs w:val="22"/>
          <w:lang w:eastAsia="de-DE"/>
        </w:rPr>
        <w:t>diese Forschungslücke zu füllen</w:t>
      </w:r>
      <w:r w:rsidR="007B540C" w:rsidRPr="00FC055E">
        <w:rPr>
          <w:rFonts w:ascii="Arial" w:eastAsia="Times New Roman" w:hAnsi="Arial" w:cs="Arial"/>
          <w:sz w:val="22"/>
          <w:szCs w:val="22"/>
          <w:lang w:eastAsia="de-DE"/>
        </w:rPr>
        <w:t xml:space="preserve">, wurden in jüngerer Zeit Ansätze entwickelt, die Bourdieus </w:t>
      </w:r>
      <w:r w:rsidR="00762C68" w:rsidRPr="00FC055E">
        <w:rPr>
          <w:rFonts w:ascii="Arial" w:eastAsia="Times New Roman" w:hAnsi="Arial" w:cs="Arial"/>
          <w:sz w:val="22"/>
          <w:szCs w:val="22"/>
          <w:lang w:eastAsia="de-DE"/>
        </w:rPr>
        <w:t>konzeptuellen Rahmen</w:t>
      </w:r>
      <w:r w:rsidR="007B540C" w:rsidRPr="00FC055E">
        <w:rPr>
          <w:rFonts w:ascii="Arial" w:eastAsia="Times New Roman" w:hAnsi="Arial" w:cs="Arial"/>
          <w:sz w:val="22"/>
          <w:szCs w:val="22"/>
          <w:lang w:eastAsia="de-DE"/>
        </w:rPr>
        <w:t xml:space="preserve"> mit einer weltsystemtheoretischen Perspektive verbinden</w:t>
      </w:r>
      <w:r w:rsidR="002B1C4C" w:rsidRPr="00FC055E">
        <w:rPr>
          <w:rFonts w:ascii="Arial" w:eastAsia="Times New Roman" w:hAnsi="Arial" w:cs="Arial"/>
          <w:sz w:val="22"/>
          <w:szCs w:val="22"/>
          <w:lang w:eastAsia="de-DE"/>
        </w:rPr>
        <w:t xml:space="preserve"> (wobei die</w:t>
      </w:r>
      <w:r w:rsidR="00665553" w:rsidRPr="00FC055E">
        <w:rPr>
          <w:rFonts w:ascii="Arial" w:eastAsia="Times New Roman" w:hAnsi="Arial" w:cs="Arial"/>
          <w:sz w:val="22"/>
          <w:szCs w:val="22"/>
          <w:lang w:eastAsia="de-DE"/>
        </w:rPr>
        <w:t>se</w:t>
      </w:r>
      <w:r w:rsidR="002B1C4C" w:rsidRPr="00FC055E">
        <w:rPr>
          <w:rFonts w:ascii="Arial" w:eastAsia="Times New Roman" w:hAnsi="Arial" w:cs="Arial"/>
          <w:sz w:val="22"/>
          <w:szCs w:val="22"/>
          <w:lang w:eastAsia="de-DE"/>
        </w:rPr>
        <w:t xml:space="preserve"> Bezugnahme eher locker erfolgt)</w:t>
      </w:r>
      <w:r w:rsidR="00B6478E">
        <w:rPr>
          <w:rFonts w:ascii="Arial" w:eastAsia="Times New Roman" w:hAnsi="Arial" w:cs="Arial"/>
          <w:sz w:val="22"/>
          <w:szCs w:val="22"/>
          <w:lang w:eastAsia="de-DE"/>
        </w:rPr>
        <w:t xml:space="preserve"> (</w:t>
      </w:r>
      <w:proofErr w:type="spellStart"/>
      <w:r w:rsidR="00B6478E">
        <w:rPr>
          <w:rFonts w:ascii="Arial" w:eastAsia="Times New Roman" w:hAnsi="Arial" w:cs="Arial"/>
          <w:sz w:val="22"/>
          <w:szCs w:val="22"/>
          <w:lang w:eastAsia="de-DE"/>
        </w:rPr>
        <w:t>Marginson</w:t>
      </w:r>
      <w:proofErr w:type="spellEnd"/>
      <w:r w:rsidR="00B6478E">
        <w:rPr>
          <w:rFonts w:ascii="Arial" w:eastAsia="Times New Roman" w:hAnsi="Arial" w:cs="Arial"/>
          <w:sz w:val="22"/>
          <w:szCs w:val="22"/>
          <w:lang w:eastAsia="de-DE"/>
        </w:rPr>
        <w:t xml:space="preserve"> 2006,</w:t>
      </w:r>
      <w:r w:rsidR="00AC48CE" w:rsidRPr="00FC055E">
        <w:rPr>
          <w:rFonts w:ascii="Arial" w:eastAsia="Times New Roman" w:hAnsi="Arial" w:cs="Arial"/>
          <w:sz w:val="22"/>
          <w:szCs w:val="22"/>
          <w:lang w:eastAsia="de-DE"/>
        </w:rPr>
        <w:t xml:space="preserve"> 2008; Münch 2011)</w:t>
      </w:r>
      <w:r w:rsidR="007B540C" w:rsidRPr="00FC055E">
        <w:rPr>
          <w:rFonts w:ascii="Arial" w:eastAsia="Times New Roman" w:hAnsi="Arial" w:cs="Arial"/>
          <w:sz w:val="22"/>
          <w:szCs w:val="22"/>
          <w:lang w:eastAsia="de-DE"/>
        </w:rPr>
        <w:t xml:space="preserve">. </w:t>
      </w:r>
      <w:r w:rsidR="00762C68" w:rsidRPr="00FC055E">
        <w:rPr>
          <w:rFonts w:ascii="Arial" w:eastAsia="Times New Roman" w:hAnsi="Arial" w:cs="Arial"/>
          <w:sz w:val="22"/>
          <w:szCs w:val="22"/>
          <w:lang w:eastAsia="de-DE"/>
        </w:rPr>
        <w:t>Die</w:t>
      </w:r>
      <w:r w:rsidR="00373C35" w:rsidRPr="00FC055E">
        <w:rPr>
          <w:rFonts w:ascii="Arial" w:eastAsia="Times New Roman" w:hAnsi="Arial" w:cs="Arial"/>
          <w:sz w:val="22"/>
          <w:szCs w:val="22"/>
          <w:lang w:eastAsia="de-DE"/>
        </w:rPr>
        <w:t xml:space="preserve"> auf Immanuel </w:t>
      </w:r>
      <w:proofErr w:type="spellStart"/>
      <w:r w:rsidR="00373C35" w:rsidRPr="00FC055E">
        <w:rPr>
          <w:rFonts w:ascii="Arial" w:eastAsia="Times New Roman" w:hAnsi="Arial" w:cs="Arial"/>
          <w:sz w:val="22"/>
          <w:szCs w:val="22"/>
          <w:lang w:eastAsia="de-DE"/>
        </w:rPr>
        <w:t>Wallerstein</w:t>
      </w:r>
      <w:proofErr w:type="spellEnd"/>
      <w:r w:rsidR="00373C35" w:rsidRPr="00FC055E">
        <w:rPr>
          <w:rFonts w:ascii="Arial" w:eastAsia="Times New Roman" w:hAnsi="Arial" w:cs="Arial"/>
          <w:sz w:val="22"/>
          <w:szCs w:val="22"/>
          <w:lang w:eastAsia="de-DE"/>
        </w:rPr>
        <w:t xml:space="preserve"> zurückgehende</w:t>
      </w:r>
      <w:r w:rsidR="00762C68" w:rsidRPr="00FC055E">
        <w:rPr>
          <w:rFonts w:ascii="Arial" w:eastAsia="Times New Roman" w:hAnsi="Arial" w:cs="Arial"/>
          <w:sz w:val="22"/>
          <w:szCs w:val="22"/>
          <w:lang w:eastAsia="de-DE"/>
        </w:rPr>
        <w:t xml:space="preserve"> Weltsystemtheorie </w:t>
      </w:r>
      <w:r w:rsidR="008C22C7" w:rsidRPr="00FC055E">
        <w:rPr>
          <w:rFonts w:ascii="Arial" w:eastAsia="Times New Roman" w:hAnsi="Arial" w:cs="Arial"/>
          <w:sz w:val="22"/>
          <w:szCs w:val="22"/>
          <w:lang w:eastAsia="de-DE"/>
        </w:rPr>
        <w:t>analysiert</w:t>
      </w:r>
      <w:r w:rsidR="00D45056" w:rsidRPr="00FC055E">
        <w:rPr>
          <w:rFonts w:ascii="Arial" w:eastAsia="Times New Roman" w:hAnsi="Arial" w:cs="Arial"/>
          <w:sz w:val="22"/>
          <w:szCs w:val="22"/>
          <w:lang w:eastAsia="de-DE"/>
        </w:rPr>
        <w:t xml:space="preserve">, wie Staaten und Regionen </w:t>
      </w:r>
      <w:r w:rsidR="00032DDC" w:rsidRPr="00FC055E">
        <w:rPr>
          <w:rFonts w:ascii="Arial" w:eastAsia="Times New Roman" w:hAnsi="Arial" w:cs="Arial"/>
          <w:sz w:val="22"/>
          <w:szCs w:val="22"/>
          <w:lang w:eastAsia="de-DE"/>
        </w:rPr>
        <w:t>in ein weltumspannendes ökonomisches und politisches Hierarchiegefüge zwischen Zentrum und Peripherie eingebunden sind (</w:t>
      </w:r>
      <w:r w:rsidR="00185A2C" w:rsidRPr="00FC055E">
        <w:rPr>
          <w:rFonts w:ascii="Arial" w:eastAsia="Times New Roman" w:hAnsi="Arial" w:cs="Arial"/>
          <w:sz w:val="22"/>
          <w:szCs w:val="22"/>
          <w:lang w:eastAsia="de-DE"/>
        </w:rPr>
        <w:t xml:space="preserve">vgl. für einen Überblick </w:t>
      </w:r>
      <w:r w:rsidR="00B6478E">
        <w:rPr>
          <w:rFonts w:ascii="Arial" w:eastAsia="Times New Roman" w:hAnsi="Arial" w:cs="Arial"/>
          <w:sz w:val="22"/>
          <w:szCs w:val="22"/>
          <w:lang w:eastAsia="de-DE"/>
        </w:rPr>
        <w:t>Chase-Dunn und</w:t>
      </w:r>
      <w:r w:rsidR="00032DDC" w:rsidRPr="00FC055E">
        <w:rPr>
          <w:rFonts w:ascii="Arial" w:eastAsia="Times New Roman" w:hAnsi="Arial" w:cs="Arial"/>
          <w:sz w:val="22"/>
          <w:szCs w:val="22"/>
          <w:lang w:eastAsia="de-DE"/>
        </w:rPr>
        <w:t xml:space="preserve"> Grimes 1995). </w:t>
      </w:r>
      <w:r w:rsidR="00235A30" w:rsidRPr="00FC055E">
        <w:rPr>
          <w:rFonts w:ascii="Arial" w:eastAsia="Times New Roman" w:hAnsi="Arial" w:cs="Arial"/>
          <w:sz w:val="22"/>
          <w:szCs w:val="22"/>
          <w:lang w:eastAsia="de-DE"/>
        </w:rPr>
        <w:t>Ebenso</w:t>
      </w:r>
      <w:r w:rsidR="007B540C" w:rsidRPr="00FC055E">
        <w:rPr>
          <w:rFonts w:ascii="Arial" w:eastAsia="Times New Roman" w:hAnsi="Arial" w:cs="Arial"/>
          <w:sz w:val="22"/>
          <w:szCs w:val="22"/>
          <w:lang w:eastAsia="de-DE"/>
        </w:rPr>
        <w:t xml:space="preserve"> lässt sich </w:t>
      </w:r>
      <w:r w:rsidR="00032DDC" w:rsidRPr="00FC055E">
        <w:rPr>
          <w:rFonts w:ascii="Arial" w:eastAsia="Times New Roman" w:hAnsi="Arial" w:cs="Arial"/>
          <w:sz w:val="22"/>
          <w:szCs w:val="22"/>
          <w:lang w:eastAsia="de-DE"/>
        </w:rPr>
        <w:t xml:space="preserve">nun </w:t>
      </w:r>
      <w:r w:rsidR="007B540C" w:rsidRPr="00FC055E">
        <w:rPr>
          <w:rFonts w:ascii="Arial" w:eastAsia="Times New Roman" w:hAnsi="Arial" w:cs="Arial"/>
          <w:sz w:val="22"/>
          <w:szCs w:val="22"/>
          <w:lang w:eastAsia="de-DE"/>
        </w:rPr>
        <w:t>die Herausbildung eines zunehmend globalen Wissenschafts</w:t>
      </w:r>
      <w:r w:rsidR="00EE5979" w:rsidRPr="00FC055E">
        <w:rPr>
          <w:rFonts w:ascii="Arial" w:eastAsia="Times New Roman" w:hAnsi="Arial" w:cs="Arial"/>
          <w:sz w:val="22"/>
          <w:szCs w:val="22"/>
          <w:lang w:eastAsia="de-DE"/>
        </w:rPr>
        <w:t>sy</w:t>
      </w:r>
      <w:r w:rsidR="002405D7" w:rsidRPr="00FC055E">
        <w:rPr>
          <w:rFonts w:ascii="Arial" w:eastAsia="Times New Roman" w:hAnsi="Arial" w:cs="Arial"/>
          <w:sz w:val="22"/>
          <w:szCs w:val="22"/>
          <w:lang w:eastAsia="de-DE"/>
        </w:rPr>
        <w:t>s</w:t>
      </w:r>
      <w:r w:rsidR="00EE5979" w:rsidRPr="00FC055E">
        <w:rPr>
          <w:rFonts w:ascii="Arial" w:eastAsia="Times New Roman" w:hAnsi="Arial" w:cs="Arial"/>
          <w:sz w:val="22"/>
          <w:szCs w:val="22"/>
          <w:lang w:eastAsia="de-DE"/>
        </w:rPr>
        <w:t>tems</w:t>
      </w:r>
      <w:r w:rsidR="007B540C" w:rsidRPr="00FC055E">
        <w:rPr>
          <w:rFonts w:ascii="Arial" w:eastAsia="Times New Roman" w:hAnsi="Arial" w:cs="Arial"/>
          <w:sz w:val="22"/>
          <w:szCs w:val="22"/>
          <w:lang w:eastAsia="de-DE"/>
        </w:rPr>
        <w:t xml:space="preserve"> </w:t>
      </w:r>
      <w:r w:rsidR="00762C68" w:rsidRPr="00FC055E">
        <w:rPr>
          <w:rFonts w:ascii="Arial" w:eastAsia="Times New Roman" w:hAnsi="Arial" w:cs="Arial"/>
          <w:sz w:val="22"/>
          <w:szCs w:val="22"/>
          <w:lang w:eastAsia="de-DE"/>
        </w:rPr>
        <w:lastRenderedPageBreak/>
        <w:t xml:space="preserve">beschreiben, das </w:t>
      </w:r>
      <w:r w:rsidR="00D45056" w:rsidRPr="00FC055E">
        <w:rPr>
          <w:rFonts w:ascii="Arial" w:eastAsia="Times New Roman" w:hAnsi="Arial" w:cs="Arial"/>
          <w:sz w:val="22"/>
          <w:szCs w:val="22"/>
          <w:lang w:eastAsia="de-DE"/>
        </w:rPr>
        <w:t>hierarchisch</w:t>
      </w:r>
      <w:r w:rsidR="00762C68" w:rsidRPr="00FC055E">
        <w:rPr>
          <w:rFonts w:ascii="Arial" w:eastAsia="Times New Roman" w:hAnsi="Arial" w:cs="Arial"/>
          <w:sz w:val="22"/>
          <w:szCs w:val="22"/>
          <w:lang w:eastAsia="de-DE"/>
        </w:rPr>
        <w:t xml:space="preserve"> zwischen einem Zentrum</w:t>
      </w:r>
      <w:r w:rsidR="00D45056" w:rsidRPr="00FC055E">
        <w:rPr>
          <w:rFonts w:ascii="Arial" w:eastAsia="Times New Roman" w:hAnsi="Arial" w:cs="Arial"/>
          <w:sz w:val="22"/>
          <w:szCs w:val="22"/>
          <w:lang w:eastAsia="de-DE"/>
        </w:rPr>
        <w:t xml:space="preserve"> – v.a. den Eliteuniversitäten in den USA und Großbritannien –</w:t>
      </w:r>
      <w:r w:rsidR="00762C68" w:rsidRPr="00FC055E">
        <w:rPr>
          <w:rFonts w:ascii="Arial" w:eastAsia="Times New Roman" w:hAnsi="Arial" w:cs="Arial"/>
          <w:sz w:val="22"/>
          <w:szCs w:val="22"/>
          <w:lang w:eastAsia="de-DE"/>
        </w:rPr>
        <w:t xml:space="preserve"> und einer Peripherie </w:t>
      </w:r>
      <w:r w:rsidR="00D45056" w:rsidRPr="00FC055E">
        <w:rPr>
          <w:rFonts w:ascii="Arial" w:eastAsia="Times New Roman" w:hAnsi="Arial" w:cs="Arial"/>
          <w:sz w:val="22"/>
          <w:szCs w:val="22"/>
          <w:lang w:eastAsia="de-DE"/>
        </w:rPr>
        <w:t>– den Bildungseinrichtungen in den</w:t>
      </w:r>
      <w:r w:rsidR="00032DDC" w:rsidRPr="00FC055E">
        <w:rPr>
          <w:rFonts w:ascii="Arial" w:eastAsia="Times New Roman" w:hAnsi="Arial" w:cs="Arial"/>
          <w:sz w:val="22"/>
          <w:szCs w:val="22"/>
          <w:lang w:eastAsia="de-DE"/>
        </w:rPr>
        <w:t xml:space="preserve"> </w:t>
      </w:r>
      <w:r w:rsidR="001E2E59" w:rsidRPr="00FC055E">
        <w:rPr>
          <w:rFonts w:ascii="Arial" w:eastAsia="Times New Roman" w:hAnsi="Arial" w:cs="Arial"/>
          <w:sz w:val="22"/>
          <w:szCs w:val="22"/>
          <w:lang w:eastAsia="de-DE"/>
        </w:rPr>
        <w:t xml:space="preserve">meisten </w:t>
      </w:r>
      <w:r w:rsidR="00D45056" w:rsidRPr="00FC055E">
        <w:rPr>
          <w:rFonts w:ascii="Arial" w:eastAsia="Times New Roman" w:hAnsi="Arial" w:cs="Arial"/>
          <w:sz w:val="22"/>
          <w:szCs w:val="22"/>
          <w:lang w:eastAsia="de-DE"/>
        </w:rPr>
        <w:t xml:space="preserve">Ländern </w:t>
      </w:r>
      <w:r w:rsidR="001E2E59" w:rsidRPr="00FC055E">
        <w:rPr>
          <w:rFonts w:ascii="Arial" w:eastAsia="Times New Roman" w:hAnsi="Arial" w:cs="Arial"/>
          <w:sz w:val="22"/>
          <w:szCs w:val="22"/>
          <w:lang w:eastAsia="de-DE"/>
        </w:rPr>
        <w:t xml:space="preserve">Lateinamerikas, </w:t>
      </w:r>
      <w:r w:rsidR="00D45056" w:rsidRPr="00FC055E">
        <w:rPr>
          <w:rFonts w:ascii="Arial" w:eastAsia="Times New Roman" w:hAnsi="Arial" w:cs="Arial"/>
          <w:sz w:val="22"/>
          <w:szCs w:val="22"/>
          <w:lang w:eastAsia="de-DE"/>
        </w:rPr>
        <w:t xml:space="preserve">Afrikas und Asiens – </w:t>
      </w:r>
      <w:r w:rsidR="00762C68" w:rsidRPr="00FC055E">
        <w:rPr>
          <w:rFonts w:ascii="Arial" w:eastAsia="Times New Roman" w:hAnsi="Arial" w:cs="Arial"/>
          <w:sz w:val="22"/>
          <w:szCs w:val="22"/>
          <w:lang w:eastAsia="de-DE"/>
        </w:rPr>
        <w:t>geteilt ist</w:t>
      </w:r>
      <w:r w:rsidR="00CE5D75" w:rsidRPr="00FC055E">
        <w:rPr>
          <w:rFonts w:ascii="Arial" w:eastAsia="Times New Roman" w:hAnsi="Arial" w:cs="Arial"/>
          <w:sz w:val="22"/>
          <w:szCs w:val="22"/>
          <w:lang w:eastAsia="de-DE"/>
        </w:rPr>
        <w:t>.</w:t>
      </w:r>
    </w:p>
    <w:p w14:paraId="55505313" w14:textId="00137519" w:rsidR="00A14756" w:rsidRPr="00FC055E" w:rsidRDefault="00D95573" w:rsidP="00D00E20">
      <w:pPr>
        <w:spacing w:after="120" w:line="360" w:lineRule="auto"/>
        <w:jc w:val="both"/>
        <w:rPr>
          <w:rFonts w:ascii="Arial" w:hAnsi="Arial" w:cs="Arial"/>
          <w:sz w:val="22"/>
          <w:szCs w:val="22"/>
        </w:rPr>
      </w:pPr>
      <w:r w:rsidRPr="00FC055E">
        <w:rPr>
          <w:rFonts w:ascii="Arial" w:hAnsi="Arial" w:cs="Arial"/>
          <w:sz w:val="22"/>
          <w:szCs w:val="22"/>
        </w:rPr>
        <w:t>Indikatoren für die Existenz eines globalen, nach Zentrum und Peripher</w:t>
      </w:r>
      <w:r w:rsidR="00D00E20">
        <w:rPr>
          <w:rFonts w:ascii="Arial" w:hAnsi="Arial" w:cs="Arial"/>
          <w:sz w:val="22"/>
          <w:szCs w:val="22"/>
        </w:rPr>
        <w:t>i</w:t>
      </w:r>
      <w:r w:rsidRPr="00FC055E">
        <w:rPr>
          <w:rFonts w:ascii="Arial" w:hAnsi="Arial" w:cs="Arial"/>
          <w:sz w:val="22"/>
          <w:szCs w:val="22"/>
        </w:rPr>
        <w:t>e gegliederten Wissenschafts</w:t>
      </w:r>
      <w:r w:rsidR="002B1C4C" w:rsidRPr="00FC055E">
        <w:rPr>
          <w:rFonts w:ascii="Arial" w:hAnsi="Arial" w:cs="Arial"/>
          <w:sz w:val="22"/>
          <w:szCs w:val="22"/>
        </w:rPr>
        <w:t>s</w:t>
      </w:r>
      <w:r w:rsidR="003E430C" w:rsidRPr="00FC055E">
        <w:rPr>
          <w:rFonts w:ascii="Arial" w:hAnsi="Arial" w:cs="Arial"/>
          <w:sz w:val="22"/>
          <w:szCs w:val="22"/>
        </w:rPr>
        <w:t>y</w:t>
      </w:r>
      <w:r w:rsidRPr="00FC055E">
        <w:rPr>
          <w:rFonts w:ascii="Arial" w:hAnsi="Arial" w:cs="Arial"/>
          <w:sz w:val="22"/>
          <w:szCs w:val="22"/>
        </w:rPr>
        <w:t>stem</w:t>
      </w:r>
      <w:r w:rsidR="003E430C" w:rsidRPr="00FC055E">
        <w:rPr>
          <w:rFonts w:ascii="Arial" w:hAnsi="Arial" w:cs="Arial"/>
          <w:sz w:val="22"/>
          <w:szCs w:val="22"/>
        </w:rPr>
        <w:t>s</w:t>
      </w:r>
      <w:r w:rsidRPr="00FC055E">
        <w:rPr>
          <w:rFonts w:ascii="Arial" w:hAnsi="Arial" w:cs="Arial"/>
          <w:sz w:val="22"/>
          <w:szCs w:val="22"/>
        </w:rPr>
        <w:t xml:space="preserve"> bilden u.a</w:t>
      </w:r>
      <w:r w:rsidR="00235A30" w:rsidRPr="00FC055E">
        <w:rPr>
          <w:rFonts w:ascii="Arial" w:hAnsi="Arial" w:cs="Arial"/>
          <w:sz w:val="22"/>
          <w:szCs w:val="22"/>
        </w:rPr>
        <w:t>.</w:t>
      </w:r>
      <w:r w:rsidRPr="00FC055E">
        <w:rPr>
          <w:rFonts w:ascii="Arial" w:hAnsi="Arial" w:cs="Arial"/>
          <w:sz w:val="22"/>
          <w:szCs w:val="22"/>
        </w:rPr>
        <w:t xml:space="preserve"> Universitätsrankings</w:t>
      </w:r>
      <w:r w:rsidR="00992854" w:rsidRPr="00FC055E">
        <w:rPr>
          <w:rFonts w:ascii="Arial" w:hAnsi="Arial" w:cs="Arial"/>
          <w:sz w:val="22"/>
          <w:szCs w:val="22"/>
        </w:rPr>
        <w:t xml:space="preserve"> und</w:t>
      </w:r>
      <w:r w:rsidR="00B6478E">
        <w:rPr>
          <w:rFonts w:ascii="Arial" w:hAnsi="Arial" w:cs="Arial"/>
          <w:sz w:val="22"/>
          <w:szCs w:val="22"/>
        </w:rPr>
        <w:t xml:space="preserve"> </w:t>
      </w:r>
      <w:r w:rsidRPr="00FC055E">
        <w:rPr>
          <w:rFonts w:ascii="Arial" w:hAnsi="Arial" w:cs="Arial"/>
          <w:sz w:val="22"/>
          <w:szCs w:val="22"/>
        </w:rPr>
        <w:t>die Verteilung von</w:t>
      </w:r>
      <w:r w:rsidR="003E430C" w:rsidRPr="00FC055E">
        <w:rPr>
          <w:rFonts w:ascii="Arial" w:hAnsi="Arial" w:cs="Arial"/>
          <w:sz w:val="22"/>
          <w:szCs w:val="22"/>
        </w:rPr>
        <w:t xml:space="preserve"> </w:t>
      </w:r>
      <w:r w:rsidRPr="00FC055E">
        <w:rPr>
          <w:rFonts w:ascii="Arial" w:hAnsi="Arial" w:cs="Arial"/>
          <w:sz w:val="22"/>
          <w:szCs w:val="22"/>
        </w:rPr>
        <w:t>bedeutsamen Preisen</w:t>
      </w:r>
      <w:r w:rsidR="00932A5C">
        <w:rPr>
          <w:rFonts w:ascii="Arial" w:hAnsi="Arial" w:cs="Arial"/>
          <w:sz w:val="22"/>
          <w:szCs w:val="22"/>
        </w:rPr>
        <w:t xml:space="preserve"> (vgl. Münch 2011; 2015; </w:t>
      </w:r>
      <w:r w:rsidR="00932A5C" w:rsidRPr="00451E04">
        <w:rPr>
          <w:rFonts w:ascii="Arial" w:hAnsi="Arial" w:cs="Arial"/>
          <w:sz w:val="22"/>
          <w:szCs w:val="22"/>
        </w:rPr>
        <w:t>Kehm 2014</w:t>
      </w:r>
      <w:r w:rsidR="00932A5C">
        <w:rPr>
          <w:rFonts w:ascii="Arial" w:hAnsi="Arial" w:cs="Arial"/>
        </w:rPr>
        <w:t>)</w:t>
      </w:r>
      <w:r w:rsidR="00F65FCE">
        <w:rPr>
          <w:rFonts w:ascii="Arial" w:hAnsi="Arial" w:cs="Arial"/>
        </w:rPr>
        <w:t>.</w:t>
      </w:r>
      <w:r w:rsidR="00932A5C">
        <w:rPr>
          <w:rFonts w:ascii="Arial" w:hAnsi="Arial" w:cs="Arial"/>
        </w:rPr>
        <w:t xml:space="preserve"> </w:t>
      </w:r>
      <w:r w:rsidR="00842757" w:rsidRPr="00FC055E">
        <w:rPr>
          <w:rFonts w:ascii="Arial" w:hAnsi="Arial" w:cs="Arial"/>
          <w:sz w:val="22"/>
          <w:szCs w:val="22"/>
        </w:rPr>
        <w:t xml:space="preserve">So wurden von der Stockholmer Nobelstiftung, der wohl bedeutsamsten Konsekrationsinstanz in der Zuweisung von wissenschaftlicher Reputation, im Zeitraum von 2000 bis 2014 72 Nobelpreise an Forscher aus den USA vergeben. 13 Preisträger kamen aus Japan, zwölf aus dem Vereinigten Königreich, sieben aus Deutschland, fünf aus Russland, jeweils drei aus Australien und Norwegen </w:t>
      </w:r>
      <w:r w:rsidR="0086301B">
        <w:rPr>
          <w:rFonts w:ascii="Arial" w:hAnsi="Arial" w:cs="Arial"/>
          <w:sz w:val="22"/>
          <w:szCs w:val="22"/>
        </w:rPr>
        <w:t>sowie</w:t>
      </w:r>
      <w:r w:rsidR="00842757" w:rsidRPr="00FC055E">
        <w:rPr>
          <w:rFonts w:ascii="Arial" w:hAnsi="Arial" w:cs="Arial"/>
          <w:sz w:val="22"/>
          <w:szCs w:val="22"/>
        </w:rPr>
        <w:t xml:space="preserve"> jeweils zwei aus China, Italien und Belgien (Forschung &amp; L</w:t>
      </w:r>
      <w:r w:rsidR="00B6478E">
        <w:rPr>
          <w:rFonts w:ascii="Arial" w:hAnsi="Arial" w:cs="Arial"/>
          <w:sz w:val="22"/>
          <w:szCs w:val="22"/>
        </w:rPr>
        <w:t>ehre 2015, S.</w:t>
      </w:r>
      <w:r w:rsidR="00842757" w:rsidRPr="00FC055E">
        <w:rPr>
          <w:rFonts w:ascii="Arial" w:hAnsi="Arial" w:cs="Arial"/>
          <w:sz w:val="22"/>
          <w:szCs w:val="22"/>
        </w:rPr>
        <w:t xml:space="preserve"> 706). Angesichts der Tatsache, dass es 193 anerkannte Staaten auf der Erde gibt, die jeweils über eigene Universitäten und Forschungseinrichtungen verfügen, ist dies eine </w:t>
      </w:r>
      <w:proofErr w:type="gramStart"/>
      <w:r w:rsidR="00842757" w:rsidRPr="00FC055E">
        <w:rPr>
          <w:rFonts w:ascii="Arial" w:hAnsi="Arial" w:cs="Arial"/>
          <w:sz w:val="22"/>
          <w:szCs w:val="22"/>
        </w:rPr>
        <w:t>extrem schiefe</w:t>
      </w:r>
      <w:proofErr w:type="gramEnd"/>
      <w:r w:rsidR="00842757" w:rsidRPr="00FC055E">
        <w:rPr>
          <w:rFonts w:ascii="Arial" w:hAnsi="Arial" w:cs="Arial"/>
          <w:sz w:val="22"/>
          <w:szCs w:val="22"/>
        </w:rPr>
        <w:t xml:space="preserve"> Verteilung. Auch die verschiedenen Rankings der Forschungsleistungen von Universitäten kommen – bei allen Unterschieden in der Messung und den genutzten Indikatoren – zu einer ganz ähnlichen Rangfolge: Ganz oben stehen in der Regel US-amerikanische Universitäten, gefolgt von wenigen britischen. Die Folgeplätze teilen sich dann</w:t>
      </w:r>
      <w:r w:rsidR="0086301B">
        <w:rPr>
          <w:rFonts w:ascii="Arial" w:hAnsi="Arial" w:cs="Arial"/>
          <w:sz w:val="22"/>
          <w:szCs w:val="22"/>
        </w:rPr>
        <w:t xml:space="preserve"> andere westeuropäische Länder sowie </w:t>
      </w:r>
      <w:r w:rsidR="00842757" w:rsidRPr="00FC055E">
        <w:rPr>
          <w:rFonts w:ascii="Arial" w:hAnsi="Arial" w:cs="Arial"/>
          <w:sz w:val="22"/>
          <w:szCs w:val="22"/>
        </w:rPr>
        <w:t>Israel, Japan, Australien, Russland und die schnell aufsteigenden Standorte Asiens, vor allem China</w:t>
      </w:r>
      <w:r w:rsidR="00B6478E">
        <w:rPr>
          <w:rFonts w:ascii="Arial" w:hAnsi="Arial" w:cs="Arial"/>
          <w:sz w:val="22"/>
          <w:szCs w:val="22"/>
        </w:rPr>
        <w:t xml:space="preserve"> (vgl. auch Jöns und</w:t>
      </w:r>
      <w:r w:rsidR="00842757" w:rsidRPr="00FC055E">
        <w:rPr>
          <w:rFonts w:ascii="Arial" w:hAnsi="Arial" w:cs="Arial"/>
          <w:sz w:val="22"/>
          <w:szCs w:val="22"/>
        </w:rPr>
        <w:t xml:space="preserve"> </w:t>
      </w:r>
      <w:proofErr w:type="spellStart"/>
      <w:r w:rsidR="00842757" w:rsidRPr="00FC055E">
        <w:rPr>
          <w:rFonts w:ascii="Arial" w:hAnsi="Arial" w:cs="Arial"/>
          <w:sz w:val="22"/>
          <w:szCs w:val="22"/>
        </w:rPr>
        <w:t>Hoyler</w:t>
      </w:r>
      <w:proofErr w:type="spellEnd"/>
      <w:r w:rsidR="00842757" w:rsidRPr="00FC055E">
        <w:rPr>
          <w:rFonts w:ascii="Arial" w:hAnsi="Arial" w:cs="Arial"/>
          <w:sz w:val="22"/>
          <w:szCs w:val="22"/>
        </w:rPr>
        <w:t xml:space="preserve"> 2013). Die hinteren Rangplätze werden in den Ranking-Tabellen sehr häufig gar nicht mehr differenziert, sondern als Sammelkategorie – z.B. Platz 501 bis 600 – ausgewiesen.</w:t>
      </w:r>
    </w:p>
    <w:p w14:paraId="058FE5A9" w14:textId="15E3C6D4" w:rsidR="00842757" w:rsidRPr="00FC055E" w:rsidRDefault="00627D51" w:rsidP="00D00E20">
      <w:pPr>
        <w:spacing w:after="120" w:line="360" w:lineRule="auto"/>
        <w:jc w:val="both"/>
        <w:rPr>
          <w:rFonts w:ascii="Arial" w:hAnsi="Arial" w:cs="Arial"/>
          <w:sz w:val="22"/>
          <w:szCs w:val="22"/>
          <w:lang w:val="en-GB"/>
        </w:rPr>
      </w:pPr>
      <w:r w:rsidRPr="00FC055E">
        <w:rPr>
          <w:rFonts w:ascii="Arial" w:hAnsi="Arial" w:cs="Arial"/>
          <w:sz w:val="22"/>
          <w:szCs w:val="22"/>
        </w:rPr>
        <w:t xml:space="preserve">(2) </w:t>
      </w:r>
      <w:r w:rsidR="00842757" w:rsidRPr="00FC055E">
        <w:rPr>
          <w:rFonts w:ascii="Arial" w:hAnsi="Arial" w:cs="Arial"/>
          <w:sz w:val="22"/>
          <w:szCs w:val="22"/>
        </w:rPr>
        <w:t xml:space="preserve">Die vertikal gegliederte Struktur der </w:t>
      </w:r>
      <w:r w:rsidR="00331F38" w:rsidRPr="00FC055E">
        <w:rPr>
          <w:rFonts w:ascii="Arial" w:hAnsi="Arial" w:cs="Arial"/>
          <w:sz w:val="22"/>
          <w:szCs w:val="22"/>
        </w:rPr>
        <w:t>Hochschullandschaft</w:t>
      </w:r>
      <w:r w:rsidR="00235A30" w:rsidRPr="00FC055E">
        <w:rPr>
          <w:rFonts w:ascii="Arial" w:hAnsi="Arial" w:cs="Arial"/>
          <w:sz w:val="22"/>
          <w:szCs w:val="22"/>
        </w:rPr>
        <w:t xml:space="preserve"> </w:t>
      </w:r>
      <w:r w:rsidR="00842757" w:rsidRPr="00FC055E">
        <w:rPr>
          <w:rFonts w:ascii="Arial" w:hAnsi="Arial" w:cs="Arial"/>
          <w:sz w:val="22"/>
          <w:szCs w:val="22"/>
        </w:rPr>
        <w:t xml:space="preserve">beeinflusst die Attraktivität der verschiedenen Universitäten für Studierende, insbesondere auf internationalem Niveau. Deren begehrtestes Zielland war und ist mit Abstand die USA – dorthin gehen 18% der international mobilen Studierenden, gefolgt vom Vereinigten Königreich (11%) und wiederum mit deutlichem Abstand Frankreich (7%), Australien (6%) und Deutschland (5%); diese fünf Länder vereinen auf sich somit fast die Hälfte der internationalen Studierenden (UNESCO 2014). Tse-Mei Chen und George A. Barnett (2000) haben die komplette Netzwerkstruktur der Mobilität von Studierenden weltweit analysiert und kommen zu dem Ergebnis, dass „[t]he </w:t>
      </w:r>
      <w:proofErr w:type="spellStart"/>
      <w:r w:rsidR="00842757" w:rsidRPr="00FC055E">
        <w:rPr>
          <w:rFonts w:ascii="Arial" w:hAnsi="Arial" w:cs="Arial"/>
          <w:sz w:val="22"/>
          <w:szCs w:val="22"/>
        </w:rPr>
        <w:t>results</w:t>
      </w:r>
      <w:proofErr w:type="spellEnd"/>
      <w:r w:rsidR="00842757" w:rsidRPr="00FC055E">
        <w:rPr>
          <w:rFonts w:ascii="Arial" w:hAnsi="Arial" w:cs="Arial"/>
          <w:sz w:val="22"/>
          <w:szCs w:val="22"/>
        </w:rPr>
        <w:t xml:space="preserve"> </w:t>
      </w:r>
      <w:proofErr w:type="spellStart"/>
      <w:r w:rsidR="00842757" w:rsidRPr="00FC055E">
        <w:rPr>
          <w:rFonts w:ascii="Arial" w:hAnsi="Arial" w:cs="Arial"/>
          <w:sz w:val="22"/>
          <w:szCs w:val="22"/>
        </w:rPr>
        <w:t>suggest</w:t>
      </w:r>
      <w:proofErr w:type="spellEnd"/>
      <w:r w:rsidR="00842757" w:rsidRPr="00FC055E">
        <w:rPr>
          <w:rFonts w:ascii="Arial" w:hAnsi="Arial" w:cs="Arial"/>
          <w:sz w:val="22"/>
          <w:szCs w:val="22"/>
        </w:rPr>
        <w:t xml:space="preserve"> an </w:t>
      </w:r>
      <w:proofErr w:type="spellStart"/>
      <w:r w:rsidR="00842757" w:rsidRPr="00FC055E">
        <w:rPr>
          <w:rFonts w:ascii="Arial" w:hAnsi="Arial" w:cs="Arial"/>
          <w:sz w:val="22"/>
          <w:szCs w:val="22"/>
        </w:rPr>
        <w:t>academic</w:t>
      </w:r>
      <w:proofErr w:type="spellEnd"/>
      <w:r w:rsidR="00842757" w:rsidRPr="00FC055E">
        <w:rPr>
          <w:rFonts w:ascii="Arial" w:hAnsi="Arial" w:cs="Arial"/>
          <w:sz w:val="22"/>
          <w:szCs w:val="22"/>
        </w:rPr>
        <w:t xml:space="preserve"> </w:t>
      </w:r>
      <w:proofErr w:type="spellStart"/>
      <w:r w:rsidR="00842757" w:rsidRPr="00FC055E">
        <w:rPr>
          <w:rFonts w:ascii="Arial" w:hAnsi="Arial" w:cs="Arial"/>
          <w:sz w:val="22"/>
          <w:szCs w:val="22"/>
        </w:rPr>
        <w:t>hegemony</w:t>
      </w:r>
      <w:proofErr w:type="spellEnd"/>
      <w:r w:rsidR="00842757" w:rsidRPr="00FC055E">
        <w:rPr>
          <w:rFonts w:ascii="Arial" w:hAnsi="Arial" w:cs="Arial"/>
          <w:sz w:val="22"/>
          <w:szCs w:val="22"/>
        </w:rPr>
        <w:t xml:space="preserve"> </w:t>
      </w:r>
      <w:proofErr w:type="spellStart"/>
      <w:r w:rsidR="00842757" w:rsidRPr="00FC055E">
        <w:rPr>
          <w:rFonts w:ascii="Arial" w:hAnsi="Arial" w:cs="Arial"/>
          <w:sz w:val="22"/>
          <w:szCs w:val="22"/>
        </w:rPr>
        <w:t>consistent</w:t>
      </w:r>
      <w:proofErr w:type="spellEnd"/>
      <w:r w:rsidR="00842757" w:rsidRPr="00FC055E">
        <w:rPr>
          <w:rFonts w:ascii="Arial" w:hAnsi="Arial" w:cs="Arial"/>
          <w:sz w:val="22"/>
          <w:szCs w:val="22"/>
        </w:rPr>
        <w:t xml:space="preserve"> </w:t>
      </w:r>
      <w:proofErr w:type="spellStart"/>
      <w:r w:rsidR="00842757" w:rsidRPr="00FC055E">
        <w:rPr>
          <w:rFonts w:ascii="Arial" w:hAnsi="Arial" w:cs="Arial"/>
          <w:sz w:val="22"/>
          <w:szCs w:val="22"/>
        </w:rPr>
        <w:t>with</w:t>
      </w:r>
      <w:proofErr w:type="spellEnd"/>
      <w:r w:rsidR="00842757" w:rsidRPr="00FC055E">
        <w:rPr>
          <w:rFonts w:ascii="Arial" w:hAnsi="Arial" w:cs="Arial"/>
          <w:sz w:val="22"/>
          <w:szCs w:val="22"/>
        </w:rPr>
        <w:t xml:space="preserve"> </w:t>
      </w:r>
      <w:proofErr w:type="spellStart"/>
      <w:r w:rsidR="00842757" w:rsidRPr="00FC055E">
        <w:rPr>
          <w:rFonts w:ascii="Arial" w:hAnsi="Arial" w:cs="Arial"/>
          <w:sz w:val="22"/>
          <w:szCs w:val="22"/>
        </w:rPr>
        <w:t>world</w:t>
      </w:r>
      <w:proofErr w:type="spellEnd"/>
      <w:r w:rsidR="00842757" w:rsidRPr="00FC055E">
        <w:rPr>
          <w:rFonts w:ascii="Arial" w:hAnsi="Arial" w:cs="Arial"/>
          <w:sz w:val="22"/>
          <w:szCs w:val="22"/>
        </w:rPr>
        <w:t xml:space="preserve"> </w:t>
      </w:r>
      <w:proofErr w:type="spellStart"/>
      <w:r w:rsidR="00842757" w:rsidRPr="00FC055E">
        <w:rPr>
          <w:rFonts w:ascii="Arial" w:hAnsi="Arial" w:cs="Arial"/>
          <w:sz w:val="22"/>
          <w:szCs w:val="22"/>
        </w:rPr>
        <w:t>economic</w:t>
      </w:r>
      <w:proofErr w:type="spellEnd"/>
      <w:r w:rsidR="00842757" w:rsidRPr="00FC055E">
        <w:rPr>
          <w:rFonts w:ascii="Arial" w:hAnsi="Arial" w:cs="Arial"/>
          <w:sz w:val="22"/>
          <w:szCs w:val="22"/>
        </w:rPr>
        <w:t xml:space="preserve"> and </w:t>
      </w:r>
      <w:proofErr w:type="spellStart"/>
      <w:r w:rsidR="00842757" w:rsidRPr="00FC055E">
        <w:rPr>
          <w:rFonts w:ascii="Arial" w:hAnsi="Arial" w:cs="Arial"/>
          <w:sz w:val="22"/>
          <w:szCs w:val="22"/>
        </w:rPr>
        <w:t>political</w:t>
      </w:r>
      <w:proofErr w:type="spellEnd"/>
      <w:r w:rsidR="00842757" w:rsidRPr="00FC055E">
        <w:rPr>
          <w:rFonts w:ascii="Arial" w:hAnsi="Arial" w:cs="Arial"/>
          <w:sz w:val="22"/>
          <w:szCs w:val="22"/>
        </w:rPr>
        <w:t xml:space="preserve"> </w:t>
      </w:r>
      <w:proofErr w:type="spellStart"/>
      <w:r w:rsidR="00842757" w:rsidRPr="00FC055E">
        <w:rPr>
          <w:rFonts w:ascii="Arial" w:hAnsi="Arial" w:cs="Arial"/>
          <w:sz w:val="22"/>
          <w:szCs w:val="22"/>
        </w:rPr>
        <w:t>performance</w:t>
      </w:r>
      <w:proofErr w:type="spellEnd"/>
      <w:r w:rsidR="00842757" w:rsidRPr="00FC055E">
        <w:rPr>
          <w:rFonts w:ascii="Arial" w:hAnsi="Arial" w:cs="Arial"/>
          <w:sz w:val="22"/>
          <w:szCs w:val="22"/>
        </w:rPr>
        <w:t xml:space="preserve">. </w:t>
      </w:r>
      <w:r w:rsidR="00842757" w:rsidRPr="00FC055E">
        <w:rPr>
          <w:rFonts w:ascii="Arial" w:hAnsi="Arial" w:cs="Arial"/>
          <w:sz w:val="22"/>
          <w:szCs w:val="22"/>
          <w:lang w:val="en-GB"/>
        </w:rPr>
        <w:t>Allied with World System Theory, the higher a country’s position in the world system, the more central it is in the international student exchange net</w:t>
      </w:r>
      <w:r w:rsidR="00B6478E">
        <w:rPr>
          <w:rFonts w:ascii="Arial" w:hAnsi="Arial" w:cs="Arial"/>
          <w:sz w:val="22"/>
          <w:szCs w:val="22"/>
          <w:lang w:val="en-GB"/>
        </w:rPr>
        <w:t>work” (Chen und Barnett 2000, S.</w:t>
      </w:r>
      <w:r w:rsidR="00842757" w:rsidRPr="00FC055E">
        <w:rPr>
          <w:rFonts w:ascii="Arial" w:hAnsi="Arial" w:cs="Arial"/>
          <w:sz w:val="22"/>
          <w:szCs w:val="22"/>
          <w:lang w:val="en-GB"/>
        </w:rPr>
        <w:t xml:space="preserve"> 435). </w:t>
      </w:r>
    </w:p>
    <w:p w14:paraId="7C6A2B21" w14:textId="537BC1AC"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Universitäten, die im Zentrum des globalen Wissenschaftssystems stehen und damit zu den Eliteinstitutionen gehören, entfalten für die Studierenden auch deswegen eine Sogwirkung, weil sie (wahrscheinlich) nicht nur eine gute Ausbildung gewährleisten, sondern auch ein Bildungspatent vergeben, das mit hohen Renditen für ihre Besitzer verbunden ist und in andere Kapitalien bzw. Vorteile konvertiert werden kann. Dies zeigen insbesondere Studien aus d</w:t>
      </w:r>
      <w:r w:rsidR="00B6478E">
        <w:rPr>
          <w:rFonts w:ascii="Arial" w:hAnsi="Arial" w:cs="Arial"/>
          <w:sz w:val="22"/>
          <w:szCs w:val="22"/>
        </w:rPr>
        <w:t xml:space="preserve">en </w:t>
      </w:r>
      <w:r w:rsidR="00B6478E">
        <w:rPr>
          <w:rFonts w:ascii="Arial" w:hAnsi="Arial" w:cs="Arial"/>
          <w:sz w:val="22"/>
          <w:szCs w:val="22"/>
        </w:rPr>
        <w:lastRenderedPageBreak/>
        <w:t>USA (zusammenfassend Gerber und</w:t>
      </w:r>
      <w:r w:rsidRPr="00FC055E">
        <w:rPr>
          <w:rFonts w:ascii="Arial" w:hAnsi="Arial" w:cs="Arial"/>
          <w:sz w:val="22"/>
          <w:szCs w:val="22"/>
        </w:rPr>
        <w:t xml:space="preserve"> Cheung 2008)</w:t>
      </w:r>
      <w:r w:rsidR="00B6478E">
        <w:rPr>
          <w:rFonts w:ascii="Arial" w:hAnsi="Arial" w:cs="Arial"/>
          <w:sz w:val="22"/>
          <w:szCs w:val="22"/>
        </w:rPr>
        <w:t xml:space="preserve"> und Großbritannien (Chevalier und</w:t>
      </w:r>
      <w:r w:rsidRPr="00FC055E">
        <w:rPr>
          <w:rFonts w:ascii="Arial" w:hAnsi="Arial" w:cs="Arial"/>
          <w:sz w:val="22"/>
          <w:szCs w:val="22"/>
        </w:rPr>
        <w:t xml:space="preserve"> </w:t>
      </w:r>
      <w:proofErr w:type="spellStart"/>
      <w:r w:rsidRPr="00FC055E">
        <w:rPr>
          <w:rFonts w:ascii="Arial" w:hAnsi="Arial" w:cs="Arial"/>
          <w:sz w:val="22"/>
          <w:szCs w:val="22"/>
        </w:rPr>
        <w:t>Conlon</w:t>
      </w:r>
      <w:proofErr w:type="spellEnd"/>
      <w:r w:rsidRPr="00FC055E">
        <w:rPr>
          <w:rFonts w:ascii="Arial" w:hAnsi="Arial" w:cs="Arial"/>
          <w:sz w:val="22"/>
          <w:szCs w:val="22"/>
        </w:rPr>
        <w:t xml:space="preserve"> 2003): Ein Abschluss von einer Eliteuniversität ist nicht nur mit hohem symbolischem Kapital verbunden (vgl. z.B. Rivera 2011). Er ermöglicht auch – z.B. über die Alumni-Organisationen der Universitäten – die Ausdehnung sozialer Netzwerke in den Bereich höhe</w:t>
      </w:r>
      <w:r w:rsidR="00B6478E">
        <w:rPr>
          <w:rFonts w:ascii="Arial" w:hAnsi="Arial" w:cs="Arial"/>
          <w:sz w:val="22"/>
          <w:szCs w:val="22"/>
        </w:rPr>
        <w:t>rer Statuspositionen (vgl. Lee und</w:t>
      </w:r>
      <w:r w:rsidRPr="00FC055E">
        <w:rPr>
          <w:rFonts w:ascii="Arial" w:hAnsi="Arial" w:cs="Arial"/>
          <w:sz w:val="22"/>
          <w:szCs w:val="22"/>
        </w:rPr>
        <w:t xml:space="preserve"> Brinton 1986 am Beispiel Südkoreas), eröffnet den Weg für den Erwerb weiterer prestigereicher Bildungspatente (Eide et al. 1998), geht häufig mit dem Zugang zu besseren Berufspositionen einher und führt im Durchschnitt zu höheren Einkommen (z.B. Brewer et al. 1999). Insofern ist ein Abschluss einer reputation</w:t>
      </w:r>
      <w:r w:rsidR="00A66872">
        <w:rPr>
          <w:rFonts w:ascii="Arial" w:hAnsi="Arial" w:cs="Arial"/>
          <w:sz w:val="22"/>
          <w:szCs w:val="22"/>
        </w:rPr>
        <w:t>strächtigen</w:t>
      </w:r>
      <w:r w:rsidRPr="00FC055E">
        <w:rPr>
          <w:rFonts w:ascii="Arial" w:hAnsi="Arial" w:cs="Arial"/>
          <w:sz w:val="22"/>
          <w:szCs w:val="22"/>
        </w:rPr>
        <w:t xml:space="preserve"> Universität in ökonomisches, soziales und kulturelles Kapital konvertierbar</w:t>
      </w:r>
      <w:r w:rsidR="00B6478E">
        <w:rPr>
          <w:rFonts w:ascii="Arial" w:hAnsi="Arial" w:cs="Arial"/>
          <w:sz w:val="22"/>
          <w:szCs w:val="22"/>
        </w:rPr>
        <w:t xml:space="preserve"> (Bourdieu 1982</w:t>
      </w:r>
      <w:r w:rsidR="00EF14B3" w:rsidRPr="00FC055E">
        <w:rPr>
          <w:rFonts w:ascii="Arial" w:hAnsi="Arial" w:cs="Arial"/>
          <w:sz w:val="22"/>
          <w:szCs w:val="22"/>
        </w:rPr>
        <w:t>)</w:t>
      </w:r>
      <w:r w:rsidRPr="00FC055E">
        <w:rPr>
          <w:rFonts w:ascii="Arial" w:hAnsi="Arial" w:cs="Arial"/>
          <w:sz w:val="22"/>
          <w:szCs w:val="22"/>
        </w:rPr>
        <w:t>. Wer in gesellschaftliche Elitepositionen aufsteigen will, für den scheint kein Weg an solchen Bildungseinrichtungen vorbeizuführen, insbesondere in Ländern mit einer stark vertikal gegliederten Hochschullandschaft wie den USA, Frankr</w:t>
      </w:r>
      <w:r w:rsidR="00B6478E">
        <w:rPr>
          <w:rFonts w:ascii="Arial" w:hAnsi="Arial" w:cs="Arial"/>
          <w:sz w:val="22"/>
          <w:szCs w:val="22"/>
        </w:rPr>
        <w:t>eich und Großbritannien (</w:t>
      </w:r>
      <w:proofErr w:type="spellStart"/>
      <w:r w:rsidR="00B6478E">
        <w:rPr>
          <w:rFonts w:ascii="Arial" w:hAnsi="Arial" w:cs="Arial"/>
          <w:sz w:val="22"/>
          <w:szCs w:val="22"/>
        </w:rPr>
        <w:t>Useem</w:t>
      </w:r>
      <w:proofErr w:type="spellEnd"/>
      <w:r w:rsidR="00B6478E">
        <w:rPr>
          <w:rFonts w:ascii="Arial" w:hAnsi="Arial" w:cs="Arial"/>
          <w:sz w:val="22"/>
          <w:szCs w:val="22"/>
        </w:rPr>
        <w:t xml:space="preserve"> und</w:t>
      </w:r>
      <w:r w:rsidRPr="00FC055E">
        <w:rPr>
          <w:rFonts w:ascii="Arial" w:hAnsi="Arial" w:cs="Arial"/>
          <w:sz w:val="22"/>
          <w:szCs w:val="22"/>
        </w:rPr>
        <w:t xml:space="preserve"> </w:t>
      </w:r>
      <w:proofErr w:type="spellStart"/>
      <w:r w:rsidRPr="00FC055E">
        <w:rPr>
          <w:rFonts w:ascii="Arial" w:hAnsi="Arial" w:cs="Arial"/>
          <w:sz w:val="22"/>
          <w:szCs w:val="22"/>
        </w:rPr>
        <w:t>Karabel</w:t>
      </w:r>
      <w:proofErr w:type="spellEnd"/>
      <w:r w:rsidRPr="00FC055E">
        <w:rPr>
          <w:rFonts w:ascii="Arial" w:hAnsi="Arial" w:cs="Arial"/>
          <w:sz w:val="22"/>
          <w:szCs w:val="22"/>
        </w:rPr>
        <w:t xml:space="preserve"> 1986; Hartmann 2007).</w:t>
      </w:r>
    </w:p>
    <w:p w14:paraId="10058DAC" w14:textId="7B6D14FD"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Bildungszertifikate prestigereicher Universitäten werfen auch innerhalb des akademischen Arbeitsmarktes wertvolle Renditen ab. Insbesondere für die USA </w:t>
      </w:r>
      <w:r w:rsidR="00147BC1" w:rsidRPr="00FC055E">
        <w:rPr>
          <w:rFonts w:ascii="Arial" w:hAnsi="Arial" w:cs="Arial"/>
          <w:sz w:val="22"/>
          <w:szCs w:val="22"/>
        </w:rPr>
        <w:t xml:space="preserve">zeigen </w:t>
      </w:r>
      <w:r w:rsidRPr="00FC055E">
        <w:rPr>
          <w:rFonts w:ascii="Arial" w:hAnsi="Arial" w:cs="Arial"/>
          <w:sz w:val="22"/>
          <w:szCs w:val="22"/>
        </w:rPr>
        <w:t>zahlreiche Studien, dass sich bei der Rekrutierung des wissenschaftlichen Nachwuchses nicht in erster Linie die leistungsstärksten Absolventen – gemessen z.B. anhand von Publikationen oder dem Erhalt von Stipendien – durchsetzen. Stattdessen hat vor allem das Prestige der Herkunftsuniversität bzw. des Herkunftsinstituts den stärksten Effekt auf die Chancen, hochrangige Einstiegspositionen zu erlangen und später höchste akademische Meriten einzufahren</w:t>
      </w:r>
      <w:r w:rsidR="00F0492A">
        <w:rPr>
          <w:rFonts w:ascii="Arial" w:hAnsi="Arial" w:cs="Arial"/>
          <w:sz w:val="22"/>
          <w:szCs w:val="22"/>
        </w:rPr>
        <w:t xml:space="preserve"> </w:t>
      </w:r>
      <w:r w:rsidRPr="00FC055E">
        <w:rPr>
          <w:rFonts w:ascii="Arial" w:hAnsi="Arial" w:cs="Arial"/>
          <w:sz w:val="22"/>
          <w:szCs w:val="22"/>
        </w:rPr>
        <w:t xml:space="preserve">(Baldi 1995; </w:t>
      </w:r>
      <w:proofErr w:type="spellStart"/>
      <w:r w:rsidRPr="00FC055E">
        <w:rPr>
          <w:rFonts w:ascii="Arial" w:hAnsi="Arial" w:cs="Arial"/>
          <w:sz w:val="22"/>
          <w:szCs w:val="22"/>
        </w:rPr>
        <w:t>Burris</w:t>
      </w:r>
      <w:proofErr w:type="spellEnd"/>
      <w:r w:rsidR="003D11E7">
        <w:rPr>
          <w:rFonts w:ascii="Arial" w:hAnsi="Arial" w:cs="Arial"/>
          <w:sz w:val="22"/>
          <w:szCs w:val="22"/>
        </w:rPr>
        <w:t xml:space="preserve"> 2004; </w:t>
      </w:r>
      <w:proofErr w:type="spellStart"/>
      <w:r w:rsidR="003D11E7">
        <w:rPr>
          <w:rFonts w:ascii="Arial" w:hAnsi="Arial" w:cs="Arial"/>
          <w:sz w:val="22"/>
          <w:szCs w:val="22"/>
        </w:rPr>
        <w:t>Headworth</w:t>
      </w:r>
      <w:proofErr w:type="spellEnd"/>
      <w:r w:rsidR="003D11E7">
        <w:rPr>
          <w:rFonts w:ascii="Arial" w:hAnsi="Arial" w:cs="Arial"/>
          <w:sz w:val="22"/>
          <w:szCs w:val="22"/>
        </w:rPr>
        <w:t xml:space="preserve"> und Freese 2016</w:t>
      </w:r>
      <w:r w:rsidR="00313815">
        <w:rPr>
          <w:rFonts w:ascii="Arial" w:hAnsi="Arial" w:cs="Arial"/>
          <w:sz w:val="22"/>
          <w:szCs w:val="22"/>
        </w:rPr>
        <w:t xml:space="preserve">; </w:t>
      </w:r>
      <w:proofErr w:type="spellStart"/>
      <w:r w:rsidRPr="00FC055E">
        <w:rPr>
          <w:rFonts w:ascii="Arial" w:hAnsi="Arial" w:cs="Arial"/>
          <w:sz w:val="22"/>
          <w:szCs w:val="22"/>
        </w:rPr>
        <w:t>Bedeian</w:t>
      </w:r>
      <w:proofErr w:type="spellEnd"/>
      <w:r w:rsidRPr="00FC055E">
        <w:rPr>
          <w:rFonts w:ascii="Arial" w:hAnsi="Arial" w:cs="Arial"/>
          <w:sz w:val="22"/>
          <w:szCs w:val="22"/>
        </w:rPr>
        <w:t xml:space="preserve"> et al. 2010; </w:t>
      </w:r>
      <w:proofErr w:type="spellStart"/>
      <w:r w:rsidRPr="00FC055E">
        <w:rPr>
          <w:rFonts w:ascii="Arial" w:hAnsi="Arial" w:cs="Arial"/>
          <w:sz w:val="22"/>
          <w:szCs w:val="22"/>
        </w:rPr>
        <w:t>Clauset</w:t>
      </w:r>
      <w:proofErr w:type="spellEnd"/>
      <w:r w:rsidRPr="00FC055E">
        <w:rPr>
          <w:rFonts w:ascii="Arial" w:hAnsi="Arial" w:cs="Arial"/>
          <w:sz w:val="22"/>
          <w:szCs w:val="22"/>
        </w:rPr>
        <w:t xml:space="preserve"> et al. 2015)</w:t>
      </w:r>
      <w:r w:rsidR="00B6478E">
        <w:rPr>
          <w:rFonts w:ascii="Arial" w:hAnsi="Arial" w:cs="Arial"/>
          <w:sz w:val="22"/>
          <w:szCs w:val="22"/>
        </w:rPr>
        <w:t>.</w:t>
      </w:r>
      <w:r w:rsidRPr="00FC055E">
        <w:rPr>
          <w:rFonts w:ascii="Arial" w:hAnsi="Arial" w:cs="Arial"/>
          <w:sz w:val="22"/>
          <w:szCs w:val="22"/>
        </w:rPr>
        <w:t xml:space="preserve"> Angesichts dieser Befunde spricht Val </w:t>
      </w:r>
      <w:proofErr w:type="spellStart"/>
      <w:r w:rsidRPr="00FC055E">
        <w:rPr>
          <w:rFonts w:ascii="Arial" w:hAnsi="Arial" w:cs="Arial"/>
          <w:sz w:val="22"/>
          <w:szCs w:val="22"/>
        </w:rPr>
        <w:t>Burris</w:t>
      </w:r>
      <w:proofErr w:type="spellEnd"/>
      <w:r w:rsidRPr="00FC055E">
        <w:rPr>
          <w:rFonts w:ascii="Arial" w:hAnsi="Arial" w:cs="Arial"/>
          <w:sz w:val="22"/>
          <w:szCs w:val="22"/>
        </w:rPr>
        <w:t xml:space="preserve"> (2004) von einem „akademischen Kastensystem“</w:t>
      </w:r>
      <w:r w:rsidR="00E1532E">
        <w:rPr>
          <w:rFonts w:ascii="Arial" w:hAnsi="Arial" w:cs="Arial"/>
          <w:sz w:val="22"/>
          <w:szCs w:val="22"/>
        </w:rPr>
        <w:t xml:space="preserve">. </w:t>
      </w:r>
    </w:p>
    <w:p w14:paraId="4018BC8D" w14:textId="73E86B05"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Die skizzierten Studien beziehen sich </w:t>
      </w:r>
      <w:r w:rsidR="003E430C" w:rsidRPr="00FC055E">
        <w:rPr>
          <w:rFonts w:ascii="Arial" w:hAnsi="Arial" w:cs="Arial"/>
          <w:sz w:val="22"/>
          <w:szCs w:val="22"/>
        </w:rPr>
        <w:t xml:space="preserve">allerdings </w:t>
      </w:r>
      <w:r w:rsidRPr="00FC055E">
        <w:rPr>
          <w:rFonts w:ascii="Arial" w:hAnsi="Arial" w:cs="Arial"/>
          <w:sz w:val="22"/>
          <w:szCs w:val="22"/>
        </w:rPr>
        <w:t xml:space="preserve">alle auf Renditen, die Absolventen </w:t>
      </w:r>
      <w:r w:rsidRPr="00FC055E">
        <w:rPr>
          <w:rFonts w:ascii="Arial" w:hAnsi="Arial" w:cs="Arial"/>
          <w:i/>
          <w:sz w:val="22"/>
          <w:szCs w:val="22"/>
        </w:rPr>
        <w:t>innerhalb ihres Nationalstaates</w:t>
      </w:r>
      <w:r w:rsidRPr="00FC055E">
        <w:rPr>
          <w:rFonts w:ascii="Arial" w:hAnsi="Arial" w:cs="Arial"/>
          <w:sz w:val="22"/>
          <w:szCs w:val="22"/>
        </w:rPr>
        <w:t xml:space="preserve"> erzielen konnten, während der Einfluss auf die Chancen </w:t>
      </w:r>
      <w:r w:rsidRPr="00FC055E">
        <w:rPr>
          <w:rFonts w:ascii="Arial" w:hAnsi="Arial" w:cs="Arial"/>
          <w:i/>
          <w:sz w:val="22"/>
          <w:szCs w:val="22"/>
        </w:rPr>
        <w:t>internationaler</w:t>
      </w:r>
      <w:r w:rsidRPr="00FC055E">
        <w:rPr>
          <w:rFonts w:ascii="Arial" w:hAnsi="Arial" w:cs="Arial"/>
          <w:sz w:val="22"/>
          <w:szCs w:val="22"/>
        </w:rPr>
        <w:t xml:space="preserve"> Mobilität bisher unerforscht geblieben ist, auch wenn von manchen Autoren ein solcher Zusammenhang theoretisch angenommen wird (z.B. </w:t>
      </w:r>
      <w:proofErr w:type="spellStart"/>
      <w:r w:rsidRPr="00FC055E">
        <w:rPr>
          <w:rFonts w:ascii="Arial" w:hAnsi="Arial" w:cs="Arial"/>
          <w:sz w:val="22"/>
          <w:szCs w:val="22"/>
        </w:rPr>
        <w:t>Sklair</w:t>
      </w:r>
      <w:proofErr w:type="spellEnd"/>
      <w:r w:rsidRPr="00FC055E">
        <w:rPr>
          <w:rFonts w:ascii="Arial" w:hAnsi="Arial" w:cs="Arial"/>
          <w:sz w:val="22"/>
          <w:szCs w:val="22"/>
        </w:rPr>
        <w:t xml:space="preserve"> 2001; Findlay et al. 2012). An dieser Stelle setzen wir mit unserer Untersuchung ein. Wir analysieren den Einfluss des symbolischen Kapitals eines Landes und einer Universität auf die Chancen internationaler Hochschulmobilität ihrer Studierenden am Beispiel von Doktoranden. </w:t>
      </w:r>
    </w:p>
    <w:p w14:paraId="1006487D" w14:textId="13BA16A7" w:rsidR="00842757" w:rsidRPr="00FC055E" w:rsidRDefault="00627D51" w:rsidP="00D00E20">
      <w:pPr>
        <w:spacing w:after="120" w:line="360" w:lineRule="auto"/>
        <w:jc w:val="both"/>
        <w:rPr>
          <w:rFonts w:ascii="Arial" w:hAnsi="Arial" w:cs="Arial"/>
          <w:sz w:val="22"/>
          <w:szCs w:val="22"/>
        </w:rPr>
      </w:pPr>
      <w:r w:rsidRPr="00FC055E">
        <w:rPr>
          <w:rFonts w:ascii="Arial" w:hAnsi="Arial" w:cs="Arial"/>
          <w:sz w:val="22"/>
          <w:szCs w:val="22"/>
        </w:rPr>
        <w:t>(3)</w:t>
      </w:r>
      <w:r w:rsidR="0054149B">
        <w:rPr>
          <w:rFonts w:ascii="Arial" w:hAnsi="Arial" w:cs="Arial"/>
          <w:sz w:val="22"/>
          <w:szCs w:val="22"/>
        </w:rPr>
        <w:t xml:space="preserve"> </w:t>
      </w:r>
      <w:r w:rsidR="00147BC1" w:rsidRPr="00FC055E">
        <w:rPr>
          <w:rFonts w:ascii="Arial" w:hAnsi="Arial" w:cs="Arial"/>
          <w:sz w:val="22"/>
          <w:szCs w:val="22"/>
        </w:rPr>
        <w:t xml:space="preserve">Den </w:t>
      </w:r>
      <w:r w:rsidR="00842757" w:rsidRPr="00FC055E">
        <w:rPr>
          <w:rFonts w:ascii="Arial" w:hAnsi="Arial" w:cs="Arial"/>
          <w:sz w:val="22"/>
          <w:szCs w:val="22"/>
        </w:rPr>
        <w:t xml:space="preserve">Abfärbeffekt eines Herkunftslandes und einer Universität auf die Karriereaussichten von Doktoranden </w:t>
      </w:r>
      <w:r w:rsidR="00147BC1" w:rsidRPr="00FC055E">
        <w:rPr>
          <w:rFonts w:ascii="Arial" w:hAnsi="Arial" w:cs="Arial"/>
          <w:sz w:val="22"/>
          <w:szCs w:val="22"/>
        </w:rPr>
        <w:t>kann man als</w:t>
      </w:r>
      <w:r w:rsidR="00842757" w:rsidRPr="00FC055E">
        <w:rPr>
          <w:rFonts w:ascii="Arial" w:hAnsi="Arial" w:cs="Arial"/>
          <w:sz w:val="22"/>
          <w:szCs w:val="22"/>
        </w:rPr>
        <w:t xml:space="preserve"> statistische Diskriminierung</w:t>
      </w:r>
      <w:r w:rsidR="00F0492A">
        <w:rPr>
          <w:rFonts w:ascii="Arial" w:hAnsi="Arial" w:cs="Arial"/>
          <w:sz w:val="22"/>
          <w:szCs w:val="22"/>
        </w:rPr>
        <w:t xml:space="preserve"> auffassen</w:t>
      </w:r>
      <w:r w:rsidR="00842757" w:rsidRPr="00FC055E">
        <w:rPr>
          <w:rFonts w:ascii="Arial" w:hAnsi="Arial" w:cs="Arial"/>
          <w:sz w:val="22"/>
          <w:szCs w:val="22"/>
        </w:rPr>
        <w:t>. Im Gegensatz zu einer auf Präferenzen oder Abneigungen basierenden Ungleichbehandlung („</w:t>
      </w:r>
      <w:proofErr w:type="spellStart"/>
      <w:r w:rsidR="00842757" w:rsidRPr="00FC055E">
        <w:rPr>
          <w:rFonts w:ascii="Arial" w:hAnsi="Arial" w:cs="Arial"/>
          <w:sz w:val="22"/>
          <w:szCs w:val="22"/>
        </w:rPr>
        <w:t>tastes</w:t>
      </w:r>
      <w:proofErr w:type="spellEnd"/>
      <w:r w:rsidR="00842757" w:rsidRPr="00FC055E">
        <w:rPr>
          <w:rFonts w:ascii="Arial" w:hAnsi="Arial" w:cs="Arial"/>
          <w:sz w:val="22"/>
          <w:szCs w:val="22"/>
        </w:rPr>
        <w:t xml:space="preserve"> </w:t>
      </w:r>
      <w:proofErr w:type="spellStart"/>
      <w:r w:rsidR="00842757" w:rsidRPr="00FC055E">
        <w:rPr>
          <w:rFonts w:ascii="Arial" w:hAnsi="Arial" w:cs="Arial"/>
          <w:sz w:val="22"/>
          <w:szCs w:val="22"/>
        </w:rPr>
        <w:t>for</w:t>
      </w:r>
      <w:proofErr w:type="spellEnd"/>
      <w:r w:rsidR="00842757" w:rsidRPr="00FC055E">
        <w:rPr>
          <w:rFonts w:ascii="Arial" w:hAnsi="Arial" w:cs="Arial"/>
          <w:sz w:val="22"/>
          <w:szCs w:val="22"/>
        </w:rPr>
        <w:t xml:space="preserve"> </w:t>
      </w:r>
      <w:proofErr w:type="spellStart"/>
      <w:r w:rsidR="00842757" w:rsidRPr="00FC055E">
        <w:rPr>
          <w:rFonts w:ascii="Arial" w:hAnsi="Arial" w:cs="Arial"/>
          <w:sz w:val="22"/>
          <w:szCs w:val="22"/>
        </w:rPr>
        <w:t>discrimination</w:t>
      </w:r>
      <w:proofErr w:type="spellEnd"/>
      <w:r w:rsidR="00842757" w:rsidRPr="00FC055E">
        <w:rPr>
          <w:rFonts w:ascii="Arial" w:hAnsi="Arial" w:cs="Arial"/>
          <w:sz w:val="22"/>
          <w:szCs w:val="22"/>
        </w:rPr>
        <w:t>“, vgl. Becker 1971) beruht diese nicht auf Vorurteilen (Phelps 1972), sondern letzten Endes auf einem Informationsdefizit. Institution</w:t>
      </w:r>
      <w:r w:rsidR="00147BC1" w:rsidRPr="00FC055E">
        <w:rPr>
          <w:rFonts w:ascii="Arial" w:hAnsi="Arial" w:cs="Arial"/>
          <w:sz w:val="22"/>
          <w:szCs w:val="22"/>
        </w:rPr>
        <w:t>en</w:t>
      </w:r>
      <w:r w:rsidR="00842757" w:rsidRPr="00FC055E">
        <w:rPr>
          <w:rFonts w:ascii="Arial" w:hAnsi="Arial" w:cs="Arial"/>
          <w:sz w:val="22"/>
          <w:szCs w:val="22"/>
        </w:rPr>
        <w:t xml:space="preserve"> </w:t>
      </w:r>
      <w:r w:rsidR="00147BC1" w:rsidRPr="00FC055E">
        <w:rPr>
          <w:rFonts w:ascii="Arial" w:hAnsi="Arial" w:cs="Arial"/>
          <w:sz w:val="22"/>
          <w:szCs w:val="22"/>
        </w:rPr>
        <w:t xml:space="preserve">und </w:t>
      </w:r>
      <w:r w:rsidR="00842757" w:rsidRPr="00FC055E">
        <w:rPr>
          <w:rFonts w:ascii="Arial" w:hAnsi="Arial" w:cs="Arial"/>
          <w:sz w:val="22"/>
          <w:szCs w:val="22"/>
        </w:rPr>
        <w:t>Person</w:t>
      </w:r>
      <w:r w:rsidR="00147BC1" w:rsidRPr="00FC055E">
        <w:rPr>
          <w:rFonts w:ascii="Arial" w:hAnsi="Arial" w:cs="Arial"/>
          <w:sz w:val="22"/>
          <w:szCs w:val="22"/>
        </w:rPr>
        <w:t>en</w:t>
      </w:r>
      <w:r w:rsidR="00842757" w:rsidRPr="00FC055E">
        <w:rPr>
          <w:rFonts w:ascii="Arial" w:hAnsi="Arial" w:cs="Arial"/>
          <w:sz w:val="22"/>
          <w:szCs w:val="22"/>
        </w:rPr>
        <w:t xml:space="preserve"> </w:t>
      </w:r>
      <w:r w:rsidR="00147BC1" w:rsidRPr="00FC055E">
        <w:rPr>
          <w:rFonts w:ascii="Arial" w:hAnsi="Arial" w:cs="Arial"/>
          <w:sz w:val="22"/>
          <w:szCs w:val="22"/>
        </w:rPr>
        <w:t xml:space="preserve">sind </w:t>
      </w:r>
      <w:r w:rsidR="00842757" w:rsidRPr="00FC055E">
        <w:rPr>
          <w:rFonts w:ascii="Arial" w:hAnsi="Arial" w:cs="Arial"/>
          <w:sz w:val="22"/>
          <w:szCs w:val="22"/>
        </w:rPr>
        <w:t xml:space="preserve">im Kern darum bemüht, </w:t>
      </w:r>
      <w:r w:rsidR="00147BC1" w:rsidRPr="00FC055E">
        <w:rPr>
          <w:rFonts w:ascii="Arial" w:hAnsi="Arial" w:cs="Arial"/>
          <w:sz w:val="22"/>
          <w:szCs w:val="22"/>
        </w:rPr>
        <w:t xml:space="preserve">die </w:t>
      </w:r>
      <w:r w:rsidR="00842757" w:rsidRPr="00FC055E">
        <w:rPr>
          <w:rFonts w:ascii="Arial" w:hAnsi="Arial" w:cs="Arial"/>
          <w:sz w:val="22"/>
          <w:szCs w:val="22"/>
        </w:rPr>
        <w:t xml:space="preserve">besten Bewerber auszuwählen. Allerdings sind die hierfür relevanten Merkmale, z.B. die tatsächliche Leistungsfähigkeit, </w:t>
      </w:r>
      <w:r w:rsidR="00147BC1" w:rsidRPr="00FC055E">
        <w:rPr>
          <w:rFonts w:ascii="Arial" w:hAnsi="Arial" w:cs="Arial"/>
          <w:sz w:val="22"/>
          <w:szCs w:val="22"/>
        </w:rPr>
        <w:t xml:space="preserve">oft </w:t>
      </w:r>
      <w:r w:rsidR="00842757" w:rsidRPr="00FC055E">
        <w:rPr>
          <w:rFonts w:ascii="Arial" w:hAnsi="Arial" w:cs="Arial"/>
          <w:sz w:val="22"/>
          <w:szCs w:val="22"/>
        </w:rPr>
        <w:t xml:space="preserve">nur schwer zu ermitteln. Daher wird eine Entscheidung häufig </w:t>
      </w:r>
      <w:r w:rsidR="00842757" w:rsidRPr="00FC055E">
        <w:rPr>
          <w:rFonts w:ascii="Arial" w:hAnsi="Arial" w:cs="Arial"/>
          <w:sz w:val="22"/>
          <w:szCs w:val="22"/>
        </w:rPr>
        <w:lastRenderedPageBreak/>
        <w:t>auf Basis anderer</w:t>
      </w:r>
      <w:r w:rsidR="00147BC1" w:rsidRPr="00FC055E">
        <w:rPr>
          <w:rFonts w:ascii="Arial" w:hAnsi="Arial" w:cs="Arial"/>
          <w:sz w:val="22"/>
          <w:szCs w:val="22"/>
        </w:rPr>
        <w:t>,</w:t>
      </w:r>
      <w:r w:rsidR="00842757" w:rsidRPr="00FC055E">
        <w:rPr>
          <w:rFonts w:ascii="Arial" w:hAnsi="Arial" w:cs="Arial"/>
          <w:sz w:val="22"/>
          <w:szCs w:val="22"/>
        </w:rPr>
        <w:t xml:space="preserve"> leichter zu beobachtender Merkmale getroffen, z.B. der Zugehörigkeit der Bewerber zu einer bestimmten Gruppe. Dabei werden aus den durchschnittlichen Gruppenmerkmalen – z.B. einer vermuteten höheren Produktivität von Absolventen einer Eliteuniversität gegenüber Absolventen einer weniger ruhmreichen Einrichtung – Rückschlüsse auf individuelle Bewerber gezogen, die natürlich im Einzelfall falsch sein können. Statistische Diskriminierung tritt insbesondere dann auf, wenn nur wenige Informationen über die betroffenen Individuen vorliegen oder schnelle Entscheidungen getroffen werden müssen.</w:t>
      </w:r>
    </w:p>
    <w:p w14:paraId="5C17A007" w14:textId="1ECF91B9"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Genau das trifft auf die oben beschriebenen Initiativbewerbungen ausländischer Doktoranden bei deutschen Hochschullehrern zu: In der Regel ist den angeschriebenen Professoren nur der Lebenslauf der Bewerber bekannt</w:t>
      </w:r>
      <w:r w:rsidR="00B423C7">
        <w:rPr>
          <w:rFonts w:ascii="Arial" w:hAnsi="Arial" w:cs="Arial"/>
          <w:sz w:val="22"/>
          <w:szCs w:val="22"/>
        </w:rPr>
        <w:t xml:space="preserve">. Man kann aber </w:t>
      </w:r>
      <w:r w:rsidRPr="00FC055E">
        <w:rPr>
          <w:rFonts w:ascii="Arial" w:hAnsi="Arial" w:cs="Arial"/>
          <w:sz w:val="22"/>
          <w:szCs w:val="22"/>
        </w:rPr>
        <w:t xml:space="preserve">davon ausgehen, dass Hochschullehrer in Deutschland nicht nur über das deutsche Wissenschaftssystem – allgemein und fachspezifisch – informiert sind, sondern auch über Kenntnisse und Einschätzungen des globalen Wissenschaftssystems verfügen. </w:t>
      </w:r>
      <w:r w:rsidR="000021A2">
        <w:rPr>
          <w:rFonts w:ascii="Arial" w:hAnsi="Arial" w:cs="Arial"/>
          <w:sz w:val="22"/>
          <w:szCs w:val="22"/>
        </w:rPr>
        <w:t>Daher</w:t>
      </w:r>
      <w:r w:rsidRPr="00FC055E">
        <w:rPr>
          <w:rFonts w:ascii="Arial" w:hAnsi="Arial" w:cs="Arial"/>
          <w:sz w:val="22"/>
          <w:szCs w:val="22"/>
        </w:rPr>
        <w:t xml:space="preserve"> ist es plausibel, dass </w:t>
      </w:r>
      <w:r w:rsidR="00B60055">
        <w:rPr>
          <w:rFonts w:ascii="Arial" w:hAnsi="Arial" w:cs="Arial"/>
          <w:sz w:val="22"/>
          <w:szCs w:val="22"/>
        </w:rPr>
        <w:t>sie</w:t>
      </w:r>
      <w:r w:rsidRPr="00FC055E">
        <w:rPr>
          <w:rFonts w:ascii="Arial" w:hAnsi="Arial" w:cs="Arial"/>
          <w:sz w:val="22"/>
          <w:szCs w:val="22"/>
        </w:rPr>
        <w:t xml:space="preserve"> Rückschlüsse vom wissenschaftlichen Prestige des Herkunftslandes und der Herkunftsuniversität auf die Qualität einzelner Bewerber ziehen und auf dieser Grundlage eine Betreuungsentscheidung treffen. </w:t>
      </w:r>
    </w:p>
    <w:p w14:paraId="1163045D" w14:textId="15BFB9A4"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Diese Rückschlüsse können sich auf drei verschiedene, ineinander verschachtelte und sich wechselseitig beeinflussende Ebenen beziehen: (1) Die oberste Ebene bildet die Reputation des Universitätssystems eines Landes: So genießt z.B. das US-amerikanische Hoch</w:t>
      </w:r>
      <w:r w:rsidR="00A66872">
        <w:rPr>
          <w:rFonts w:ascii="Arial" w:hAnsi="Arial" w:cs="Arial"/>
          <w:sz w:val="22"/>
          <w:szCs w:val="22"/>
        </w:rPr>
        <w:t>schulsystem vor allem aufg</w:t>
      </w:r>
      <w:r w:rsidRPr="00FC055E">
        <w:rPr>
          <w:rFonts w:ascii="Arial" w:hAnsi="Arial" w:cs="Arial"/>
          <w:sz w:val="22"/>
          <w:szCs w:val="22"/>
        </w:rPr>
        <w:t>rund des Prestiges der privaten Universitäten weltweit die höchste Anerkennung. (2) Die zweite Ebene bildet die Reputation der einzelnen Universitäten, wie sie z.B. in den verschiedenen nationalen und internationalen Rankings abgebildet werden soll. (3) Schließlich unterscheiden sich die Universitäten in der Qualität der jeweiligen Fächer bzw. Institute. So kann ein einzelnes Institut einen hervorragenden Ruf besitzen, auch wenn es an einer eher mittelmäßigen Universität angesiedelt ist</w:t>
      </w:r>
      <w:r w:rsidR="00B423C7">
        <w:rPr>
          <w:rFonts w:ascii="Arial" w:hAnsi="Arial" w:cs="Arial"/>
          <w:sz w:val="22"/>
          <w:szCs w:val="22"/>
        </w:rPr>
        <w:t xml:space="preserve">. </w:t>
      </w:r>
      <w:r w:rsidRPr="00FC055E">
        <w:rPr>
          <w:rFonts w:ascii="Arial" w:hAnsi="Arial" w:cs="Arial"/>
          <w:sz w:val="22"/>
          <w:szCs w:val="22"/>
        </w:rPr>
        <w:t xml:space="preserve">Im Vergleich zu den Hochschulsystemen und Universitäten hat die fachliche Qualität eines Instituts den unmittelbarsten Einfluss auf die Qualität der </w:t>
      </w:r>
      <w:r w:rsidR="005B2613" w:rsidRPr="00FC055E">
        <w:rPr>
          <w:rFonts w:ascii="Arial" w:hAnsi="Arial" w:cs="Arial"/>
          <w:sz w:val="22"/>
          <w:szCs w:val="22"/>
        </w:rPr>
        <w:t>jeweilige</w:t>
      </w:r>
      <w:r w:rsidR="00F674A8" w:rsidRPr="00FC055E">
        <w:rPr>
          <w:rFonts w:ascii="Arial" w:hAnsi="Arial" w:cs="Arial"/>
          <w:sz w:val="22"/>
          <w:szCs w:val="22"/>
        </w:rPr>
        <w:t>n</w:t>
      </w:r>
      <w:r w:rsidR="005B2613" w:rsidRPr="00FC055E">
        <w:rPr>
          <w:rFonts w:ascii="Arial" w:hAnsi="Arial" w:cs="Arial"/>
          <w:sz w:val="22"/>
          <w:szCs w:val="22"/>
        </w:rPr>
        <w:t xml:space="preserve"> </w:t>
      </w:r>
      <w:r w:rsidRPr="00FC055E">
        <w:rPr>
          <w:rFonts w:ascii="Arial" w:hAnsi="Arial" w:cs="Arial"/>
          <w:sz w:val="22"/>
          <w:szCs w:val="22"/>
        </w:rPr>
        <w:t xml:space="preserve">Doktorandenausbildung. Somit dürfte sie für </w:t>
      </w:r>
      <w:proofErr w:type="gramStart"/>
      <w:r w:rsidRPr="00FC055E">
        <w:rPr>
          <w:rFonts w:ascii="Arial" w:hAnsi="Arial" w:cs="Arial"/>
          <w:sz w:val="22"/>
          <w:szCs w:val="22"/>
        </w:rPr>
        <w:t>potentielle</w:t>
      </w:r>
      <w:proofErr w:type="gramEnd"/>
      <w:r w:rsidRPr="00FC055E">
        <w:rPr>
          <w:rFonts w:ascii="Arial" w:hAnsi="Arial" w:cs="Arial"/>
          <w:sz w:val="22"/>
          <w:szCs w:val="22"/>
        </w:rPr>
        <w:t xml:space="preserve"> Betreuer auch der beste Indikator zur Beurteilung eines unbekannten Doktoranden darstellen.</w:t>
      </w:r>
    </w:p>
    <w:p w14:paraId="1EAB12C4" w14:textId="77777777"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Auf der Grundlage dieser Annahmen analysieren wir im Folgenden empirisch, welchen Einfluss die Reputation nationaler Hochschulsysteme und einzelner Herkunftsuniversitäten ausländischer Doktoranden im Vergleich zu deren fachlicher Eignung (gemessen an der Qualität des Herkunftsinstituts) auf die Auswahl durch deutsche Hochschullehrer haben.</w:t>
      </w:r>
    </w:p>
    <w:p w14:paraId="23FBBEC6" w14:textId="77777777" w:rsidR="00842757" w:rsidRPr="00FC055E" w:rsidRDefault="00842757" w:rsidP="00D00E20">
      <w:pPr>
        <w:spacing w:after="120" w:line="360" w:lineRule="auto"/>
        <w:jc w:val="both"/>
        <w:rPr>
          <w:rFonts w:ascii="Arial" w:hAnsi="Arial" w:cs="Arial"/>
          <w:b/>
          <w:sz w:val="22"/>
          <w:szCs w:val="22"/>
        </w:rPr>
      </w:pPr>
    </w:p>
    <w:p w14:paraId="0BD2760B" w14:textId="77777777" w:rsidR="00842757" w:rsidRPr="00FC055E" w:rsidRDefault="00842757" w:rsidP="00D00E20">
      <w:pPr>
        <w:spacing w:after="120" w:line="360" w:lineRule="auto"/>
        <w:jc w:val="both"/>
        <w:rPr>
          <w:rFonts w:ascii="Arial" w:hAnsi="Arial" w:cs="Arial"/>
          <w:b/>
          <w:sz w:val="22"/>
          <w:szCs w:val="22"/>
        </w:rPr>
      </w:pPr>
      <w:r w:rsidRPr="00FC055E">
        <w:rPr>
          <w:rFonts w:ascii="Arial" w:hAnsi="Arial" w:cs="Arial"/>
          <w:b/>
          <w:sz w:val="22"/>
          <w:szCs w:val="22"/>
        </w:rPr>
        <w:t xml:space="preserve">2. Daten und Analysemethoden </w:t>
      </w:r>
    </w:p>
    <w:p w14:paraId="24073BBF" w14:textId="663ABBE5"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Um den Einfluss des symbolischen Kapitals des Herkunftslandes und der Herkunftsuniversität eines Doktoranden auf seine internationalen Mobilitätschancen zu bestimmen, haben wir eine </w:t>
      </w:r>
      <w:proofErr w:type="spellStart"/>
      <w:r w:rsidRPr="00FC055E">
        <w:rPr>
          <w:rFonts w:ascii="Arial" w:hAnsi="Arial" w:cs="Arial"/>
          <w:sz w:val="22"/>
          <w:szCs w:val="22"/>
        </w:rPr>
        <w:lastRenderedPageBreak/>
        <w:t>Testing</w:t>
      </w:r>
      <w:proofErr w:type="spellEnd"/>
      <w:r w:rsidRPr="00FC055E">
        <w:rPr>
          <w:rFonts w:ascii="Arial" w:hAnsi="Arial" w:cs="Arial"/>
          <w:sz w:val="22"/>
          <w:szCs w:val="22"/>
        </w:rPr>
        <w:t>-Studie durchgeführt. Dabei haben wir gleichlautende Betreuungsanfragen fiktiver Doktoranden an Hochschullehrer in Deutschland verschickt, wobei das Fach (Soziologie) und sonstige Eigenschaften der Bewerber konstant gehalten und das symbolische Kapital des Herkunftslandes, der Herkunftsuniversität bzw. des Herkunftsinstituts als Treatment-Variablen variiert wurden. Um das Dominanzverhältnis der drei Ebenen zueinander zu bestimmen, z.B. die Bedeutsamkeit der wissenschaftlichen Reputation des Landes gegenüber jener der Universität, haben wir vier verschiedene Herkunftskontexte unterschieden</w:t>
      </w:r>
      <w:r w:rsidR="001E1D52" w:rsidRPr="00FC055E">
        <w:rPr>
          <w:rFonts w:ascii="Arial" w:hAnsi="Arial" w:cs="Arial"/>
          <w:sz w:val="22"/>
          <w:szCs w:val="22"/>
        </w:rPr>
        <w:t>:</w:t>
      </w:r>
      <w:r w:rsidR="00D11253" w:rsidRPr="00FC055E">
        <w:rPr>
          <w:rStyle w:val="Funotenzeichen"/>
          <w:rFonts w:ascii="Arial" w:hAnsi="Arial" w:cs="Arial"/>
          <w:sz w:val="22"/>
          <w:szCs w:val="22"/>
        </w:rPr>
        <w:footnoteReference w:id="4"/>
      </w:r>
      <w:r w:rsidRPr="00FC055E">
        <w:rPr>
          <w:rFonts w:ascii="Arial" w:hAnsi="Arial" w:cs="Arial"/>
          <w:sz w:val="22"/>
          <w:szCs w:val="22"/>
        </w:rPr>
        <w:t xml:space="preserve"> Yale University (USA), Pennsylvania State University (USA), National University of Singapore (Singapur), National University of Vietnam, Hanoi (Vietnam).</w:t>
      </w:r>
      <w:r w:rsidRPr="00FC055E">
        <w:rPr>
          <w:rStyle w:val="Funotenzeichen"/>
          <w:rFonts w:ascii="Arial" w:hAnsi="Arial" w:cs="Arial"/>
          <w:sz w:val="22"/>
          <w:szCs w:val="22"/>
        </w:rPr>
        <w:footnoteReference w:id="5"/>
      </w:r>
    </w:p>
    <w:p w14:paraId="448BC742" w14:textId="77777777"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(1) Bezüglich des symbolischen Kapitals des nationalen Hochschulsystems liegen die USA in allen Reputationsmessungen vor den asiatischen Ländern, wobei nochmals ein deutlicher Unterschied zwischen dem erfolgreichen „Tigerstaat“ Singapur und dem sozialistischen Vietnam besteht. Das meiste symbolische Kapital bringen daher Bewerber aus Yale und der Penn State mit, gefolgt von denen der NU Singapore. Das Schlusslicht bilden die Bewerber der VNU Hanoi. Dabei dürfte der Abstand zwischen den USA und den beiden asiatischen Ländern deutlich höher ausfallen als der zwischen den beiden asiatischen Ländern. </w:t>
      </w:r>
    </w:p>
    <w:p w14:paraId="416803A5" w14:textId="5433D572"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(2) Bezüglich der Reputation der einzelnen Universitäten haben wir die Analysen des </w:t>
      </w:r>
      <w:r w:rsidR="0048500C">
        <w:rPr>
          <w:rFonts w:ascii="Arial" w:hAnsi="Arial" w:cs="Arial"/>
          <w:sz w:val="22"/>
          <w:szCs w:val="22"/>
        </w:rPr>
        <w:t>„</w:t>
      </w:r>
      <w:r w:rsidRPr="00FC055E">
        <w:rPr>
          <w:rFonts w:ascii="Arial" w:hAnsi="Arial" w:cs="Arial"/>
          <w:sz w:val="22"/>
          <w:szCs w:val="22"/>
        </w:rPr>
        <w:t>Times Higher Education World University Ranking</w:t>
      </w:r>
      <w:r w:rsidR="0048500C">
        <w:rPr>
          <w:rFonts w:ascii="Arial" w:hAnsi="Arial" w:cs="Arial"/>
          <w:sz w:val="22"/>
          <w:szCs w:val="22"/>
        </w:rPr>
        <w:t>“</w:t>
      </w:r>
      <w:r w:rsidRPr="00FC055E">
        <w:rPr>
          <w:rFonts w:ascii="Arial" w:hAnsi="Arial" w:cs="Arial"/>
          <w:sz w:val="22"/>
          <w:szCs w:val="22"/>
        </w:rPr>
        <w:t xml:space="preserve"> (THE) und des </w:t>
      </w:r>
      <w:r w:rsidR="0048500C">
        <w:rPr>
          <w:rFonts w:ascii="Arial" w:hAnsi="Arial" w:cs="Arial"/>
          <w:sz w:val="22"/>
          <w:szCs w:val="22"/>
        </w:rPr>
        <w:t>„</w:t>
      </w:r>
      <w:r w:rsidRPr="00FC055E">
        <w:rPr>
          <w:rFonts w:ascii="Arial" w:hAnsi="Arial" w:cs="Arial"/>
          <w:sz w:val="22"/>
          <w:szCs w:val="22"/>
        </w:rPr>
        <w:t>QS World University Ranking</w:t>
      </w:r>
      <w:r w:rsidR="0048500C">
        <w:rPr>
          <w:rFonts w:ascii="Arial" w:hAnsi="Arial" w:cs="Arial"/>
          <w:sz w:val="22"/>
          <w:szCs w:val="22"/>
        </w:rPr>
        <w:t>“</w:t>
      </w:r>
      <w:r w:rsidRPr="00FC055E">
        <w:rPr>
          <w:rFonts w:ascii="Arial" w:hAnsi="Arial" w:cs="Arial"/>
          <w:sz w:val="22"/>
          <w:szCs w:val="22"/>
        </w:rPr>
        <w:t xml:space="preserve"> (QS) herangezogen. </w:t>
      </w:r>
      <w:r w:rsidR="00620F28">
        <w:rPr>
          <w:rFonts w:ascii="Arial" w:hAnsi="Arial" w:cs="Arial"/>
          <w:sz w:val="22"/>
          <w:szCs w:val="22"/>
        </w:rPr>
        <w:t xml:space="preserve">Für </w:t>
      </w:r>
      <w:r w:rsidR="00C16E0B">
        <w:rPr>
          <w:rFonts w:ascii="Arial" w:hAnsi="Arial" w:cs="Arial"/>
          <w:sz w:val="22"/>
          <w:szCs w:val="22"/>
        </w:rPr>
        <w:t>2015/</w:t>
      </w:r>
      <w:r w:rsidR="00620F28">
        <w:rPr>
          <w:rFonts w:ascii="Arial" w:hAnsi="Arial" w:cs="Arial"/>
          <w:sz w:val="22"/>
          <w:szCs w:val="22"/>
        </w:rPr>
        <w:t>2016 ergibt sich d</w:t>
      </w:r>
      <w:r w:rsidR="00202A4E">
        <w:rPr>
          <w:rFonts w:ascii="Arial" w:hAnsi="Arial" w:cs="Arial"/>
          <w:sz w:val="22"/>
          <w:szCs w:val="22"/>
        </w:rPr>
        <w:t>araus</w:t>
      </w:r>
      <w:r w:rsidRPr="00FC055E">
        <w:rPr>
          <w:rFonts w:ascii="Arial" w:hAnsi="Arial" w:cs="Arial"/>
          <w:sz w:val="22"/>
          <w:szCs w:val="22"/>
        </w:rPr>
        <w:t xml:space="preserve"> </w:t>
      </w:r>
      <w:r w:rsidR="00202A4E">
        <w:rPr>
          <w:rFonts w:ascii="Arial" w:hAnsi="Arial" w:cs="Arial"/>
          <w:sz w:val="22"/>
          <w:szCs w:val="22"/>
        </w:rPr>
        <w:t>folgende</w:t>
      </w:r>
      <w:r w:rsidR="00D7589C">
        <w:rPr>
          <w:rFonts w:ascii="Arial" w:hAnsi="Arial" w:cs="Arial"/>
          <w:sz w:val="22"/>
          <w:szCs w:val="22"/>
        </w:rPr>
        <w:t xml:space="preserve"> eindeutige </w:t>
      </w:r>
      <w:r w:rsidRPr="00FC055E">
        <w:rPr>
          <w:rFonts w:ascii="Arial" w:hAnsi="Arial" w:cs="Arial"/>
          <w:sz w:val="22"/>
          <w:szCs w:val="22"/>
        </w:rPr>
        <w:t>Rangfolge: Yale</w:t>
      </w:r>
      <w:r w:rsidR="000B2A6F">
        <w:rPr>
          <w:rFonts w:ascii="Arial" w:hAnsi="Arial" w:cs="Arial"/>
          <w:sz w:val="22"/>
          <w:szCs w:val="22"/>
        </w:rPr>
        <w:t xml:space="preserve"> (Nr. 12 und 15)</w:t>
      </w:r>
      <w:r w:rsidRPr="00FC055E">
        <w:rPr>
          <w:rFonts w:ascii="Arial" w:hAnsi="Arial" w:cs="Arial"/>
          <w:sz w:val="22"/>
          <w:szCs w:val="22"/>
        </w:rPr>
        <w:t>, NU Singapore</w:t>
      </w:r>
      <w:r w:rsidR="000B2A6F">
        <w:rPr>
          <w:rFonts w:ascii="Arial" w:hAnsi="Arial" w:cs="Arial"/>
          <w:sz w:val="22"/>
          <w:szCs w:val="22"/>
        </w:rPr>
        <w:t xml:space="preserve"> (Nr. 26 und 12)</w:t>
      </w:r>
      <w:r w:rsidRPr="00FC055E">
        <w:rPr>
          <w:rFonts w:ascii="Arial" w:hAnsi="Arial" w:cs="Arial"/>
          <w:sz w:val="22"/>
          <w:szCs w:val="22"/>
        </w:rPr>
        <w:t xml:space="preserve">, Penn State </w:t>
      </w:r>
      <w:r w:rsidR="000B2A6F">
        <w:rPr>
          <w:rFonts w:ascii="Arial" w:hAnsi="Arial" w:cs="Arial"/>
          <w:sz w:val="22"/>
          <w:szCs w:val="22"/>
        </w:rPr>
        <w:t>(Nr. 75 und 101)</w:t>
      </w:r>
      <w:r w:rsidR="00EE4BD5">
        <w:rPr>
          <w:rFonts w:ascii="Arial" w:hAnsi="Arial" w:cs="Arial"/>
          <w:sz w:val="22"/>
          <w:szCs w:val="22"/>
        </w:rPr>
        <w:t xml:space="preserve"> </w:t>
      </w:r>
      <w:r w:rsidRPr="00FC055E">
        <w:rPr>
          <w:rFonts w:ascii="Arial" w:hAnsi="Arial" w:cs="Arial"/>
          <w:sz w:val="22"/>
          <w:szCs w:val="22"/>
        </w:rPr>
        <w:t xml:space="preserve">und VNU Hanoi </w:t>
      </w:r>
      <w:r w:rsidR="000B2A6F">
        <w:rPr>
          <w:rFonts w:ascii="Arial" w:hAnsi="Arial" w:cs="Arial"/>
          <w:sz w:val="22"/>
          <w:szCs w:val="22"/>
        </w:rPr>
        <w:t>(nicht aufgeführt)</w:t>
      </w:r>
      <w:r w:rsidRPr="00FC055E">
        <w:rPr>
          <w:rFonts w:ascii="Arial" w:hAnsi="Arial" w:cs="Arial"/>
          <w:sz w:val="22"/>
          <w:szCs w:val="22"/>
        </w:rPr>
        <w:t xml:space="preserve">. </w:t>
      </w:r>
    </w:p>
    <w:p w14:paraId="4E60B485" w14:textId="7159D0C6"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(3) Als Indikator für die fachliche Qualität der jeweiligen Institute dienen uns die Rankings „US News &amp; World Report Graduate Sch</w:t>
      </w:r>
      <w:r w:rsidR="00270A7C">
        <w:rPr>
          <w:rFonts w:ascii="Arial" w:hAnsi="Arial" w:cs="Arial"/>
          <w:sz w:val="22"/>
          <w:szCs w:val="22"/>
        </w:rPr>
        <w:t xml:space="preserve">ool Ranking“ (US News) </w:t>
      </w:r>
      <w:r w:rsidR="00B64C5F">
        <w:rPr>
          <w:rFonts w:ascii="Arial" w:hAnsi="Arial" w:cs="Arial"/>
          <w:sz w:val="22"/>
          <w:szCs w:val="22"/>
        </w:rPr>
        <w:t xml:space="preserve">des Jahres 2013 </w:t>
      </w:r>
      <w:r w:rsidR="00270A7C">
        <w:rPr>
          <w:rFonts w:ascii="Arial" w:hAnsi="Arial" w:cs="Arial"/>
          <w:sz w:val="22"/>
          <w:szCs w:val="22"/>
        </w:rPr>
        <w:t>sowie das</w:t>
      </w:r>
      <w:r w:rsidR="00E70A16">
        <w:rPr>
          <w:rFonts w:ascii="Arial" w:hAnsi="Arial" w:cs="Arial"/>
          <w:sz w:val="22"/>
          <w:szCs w:val="22"/>
        </w:rPr>
        <w:t xml:space="preserve"> des</w:t>
      </w:r>
      <w:r w:rsidRPr="00FC055E">
        <w:rPr>
          <w:rFonts w:ascii="Arial" w:hAnsi="Arial" w:cs="Arial"/>
          <w:sz w:val="22"/>
          <w:szCs w:val="22"/>
        </w:rPr>
        <w:t xml:space="preserve"> „National Research Council“ (NRC)</w:t>
      </w:r>
      <w:r w:rsidR="00B64C5F">
        <w:rPr>
          <w:rFonts w:ascii="Arial" w:hAnsi="Arial" w:cs="Arial"/>
          <w:sz w:val="22"/>
          <w:szCs w:val="22"/>
        </w:rPr>
        <w:t xml:space="preserve"> von 2010</w:t>
      </w:r>
      <w:r w:rsidRPr="00FC055E">
        <w:rPr>
          <w:rFonts w:ascii="Arial" w:hAnsi="Arial" w:cs="Arial"/>
          <w:sz w:val="22"/>
          <w:szCs w:val="22"/>
        </w:rPr>
        <w:t xml:space="preserve">. Ersteres basiert auf der fachlichen Einschätzung durch Peers, letzteres </w:t>
      </w:r>
      <w:r w:rsidR="00D12682">
        <w:rPr>
          <w:rFonts w:ascii="Arial" w:hAnsi="Arial" w:cs="Arial"/>
          <w:sz w:val="22"/>
          <w:szCs w:val="22"/>
        </w:rPr>
        <w:t>nutzt</w:t>
      </w:r>
      <w:r w:rsidRPr="00FC055E">
        <w:rPr>
          <w:rFonts w:ascii="Arial" w:hAnsi="Arial" w:cs="Arial"/>
          <w:sz w:val="22"/>
          <w:szCs w:val="22"/>
        </w:rPr>
        <w:t xml:space="preserve"> eine Kombination verschiedene</w:t>
      </w:r>
      <w:r w:rsidR="00D12682">
        <w:rPr>
          <w:rFonts w:ascii="Arial" w:hAnsi="Arial" w:cs="Arial"/>
          <w:sz w:val="22"/>
          <w:szCs w:val="22"/>
        </w:rPr>
        <w:t>r</w:t>
      </w:r>
      <w:r w:rsidRPr="00FC055E">
        <w:rPr>
          <w:rFonts w:ascii="Arial" w:hAnsi="Arial" w:cs="Arial"/>
          <w:sz w:val="22"/>
          <w:szCs w:val="22"/>
        </w:rPr>
        <w:t xml:space="preserve"> Indikatoren (z.B. Publikationen </w:t>
      </w:r>
      <w:r w:rsidR="0086797D">
        <w:rPr>
          <w:rFonts w:ascii="Arial" w:hAnsi="Arial" w:cs="Arial"/>
          <w:sz w:val="22"/>
          <w:szCs w:val="22"/>
        </w:rPr>
        <w:t>pro</w:t>
      </w:r>
      <w:r w:rsidR="0086797D" w:rsidRPr="00FC055E">
        <w:rPr>
          <w:rFonts w:ascii="Arial" w:hAnsi="Arial" w:cs="Arial"/>
          <w:sz w:val="22"/>
          <w:szCs w:val="22"/>
        </w:rPr>
        <w:t xml:space="preserve"> </w:t>
      </w:r>
      <w:r w:rsidRPr="00FC055E">
        <w:rPr>
          <w:rFonts w:ascii="Arial" w:hAnsi="Arial" w:cs="Arial"/>
          <w:sz w:val="22"/>
          <w:szCs w:val="22"/>
        </w:rPr>
        <w:t xml:space="preserve">Wissenschaftler), die von Peers ausgewählt und gewichtet wurden. Hierbei schneidet die Penn State deutlich besser ab als Yale und belegt im „US News“ </w:t>
      </w:r>
      <w:r w:rsidR="00270A7C">
        <w:rPr>
          <w:rFonts w:ascii="Arial" w:hAnsi="Arial" w:cs="Arial"/>
          <w:sz w:val="22"/>
          <w:szCs w:val="22"/>
        </w:rPr>
        <w:t>Rang</w:t>
      </w:r>
      <w:r w:rsidRPr="00FC055E">
        <w:rPr>
          <w:rFonts w:ascii="Arial" w:hAnsi="Arial" w:cs="Arial"/>
          <w:sz w:val="22"/>
          <w:szCs w:val="22"/>
        </w:rPr>
        <w:t xml:space="preserve"> 17 und bei „NRC“ das Intervall Nr. 3-8; Yale belegt hingegen nur Platz 20, bzw. das Intervall 59-85. Für die beiden asiatischen Universitäten liegt eine solche fachliche Beurteilung nicht vor, daher werden für die Beurteilung der Rolle der Reputation des Instituts nur die beiden amerikanischen Universitäten herangezogen.</w:t>
      </w:r>
    </w:p>
    <w:p w14:paraId="198F22EF" w14:textId="01C243F2" w:rsidR="0044679B"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lastRenderedPageBreak/>
        <w:t xml:space="preserve">Diese theoriegesteuerte Auswahl der Universitäten erlaubt es uns, die Relevanz des symbolischen Kapitals auf verschiedenen Ebenen empirisch zu bestimmen. Wenn der nationale Herkunftskontext bedeutsamer ist als die Reputation der Universität, müssten Anfragen fiktiver Bewerber der Penn State mehr positive und ausführlichere Antworten bekommen als Bewerber der NU Singapore, ansonsten wäre es umgekehrt. Zudem müsste die Differenz zwischen amerikanischen und asiatischen Universitäten stärker ausgeprägt sein als die Unterschiede </w:t>
      </w:r>
      <w:r w:rsidR="007B4ED3">
        <w:rPr>
          <w:rFonts w:ascii="Arial" w:hAnsi="Arial" w:cs="Arial"/>
          <w:sz w:val="22"/>
          <w:szCs w:val="22"/>
        </w:rPr>
        <w:t>innerhalb der</w:t>
      </w:r>
      <w:r w:rsidRPr="00FC055E">
        <w:rPr>
          <w:rFonts w:ascii="Arial" w:hAnsi="Arial" w:cs="Arial"/>
          <w:sz w:val="22"/>
          <w:szCs w:val="22"/>
        </w:rPr>
        <w:t xml:space="preserve"> asiatischen. Ist die fachliche Reputation wichtiger als die Reputation der Universität, müssten Bewerber der Penn State mehr Antworten bekommen als die aus Yale.</w:t>
      </w:r>
    </w:p>
    <w:p w14:paraId="5CA671D1" w14:textId="4F57A3B3" w:rsidR="00842757" w:rsidRPr="00FC055E" w:rsidRDefault="00842757" w:rsidP="00D00E20">
      <w:pPr>
        <w:spacing w:after="120" w:line="360" w:lineRule="auto"/>
        <w:jc w:val="both"/>
        <w:rPr>
          <w:rFonts w:ascii="Arial" w:hAnsi="Arial" w:cs="Arial"/>
          <w:sz w:val="22"/>
          <w:szCs w:val="22"/>
        </w:rPr>
      </w:pPr>
      <w:r w:rsidRPr="00F178BE">
        <w:rPr>
          <w:rFonts w:ascii="Arial" w:hAnsi="Arial" w:cs="Arial"/>
          <w:sz w:val="22"/>
          <w:szCs w:val="22"/>
        </w:rPr>
        <w:t xml:space="preserve">Den fiktiven Bewerbern haben wir unterschiedliche Vor- und Zunamen zugewiesen. Um den Einfluss des Geschlechts </w:t>
      </w:r>
      <w:r w:rsidR="005027EE">
        <w:rPr>
          <w:rFonts w:ascii="Arial" w:hAnsi="Arial" w:cs="Arial"/>
          <w:sz w:val="22"/>
          <w:szCs w:val="22"/>
        </w:rPr>
        <w:t xml:space="preserve">und der ethnischen Herkunft </w:t>
      </w:r>
      <w:r w:rsidRPr="00F178BE">
        <w:rPr>
          <w:rFonts w:ascii="Arial" w:hAnsi="Arial" w:cs="Arial"/>
          <w:sz w:val="22"/>
          <w:szCs w:val="22"/>
        </w:rPr>
        <w:t>zu kontrollieren, haben wir uns allein auf männliche Bewerber konzentriert</w:t>
      </w:r>
      <w:r w:rsidR="005027EE">
        <w:rPr>
          <w:rFonts w:ascii="Arial" w:hAnsi="Arial" w:cs="Arial"/>
          <w:sz w:val="22"/>
          <w:szCs w:val="22"/>
        </w:rPr>
        <w:t xml:space="preserve"> und</w:t>
      </w:r>
      <w:r w:rsidRPr="00FC055E">
        <w:rPr>
          <w:rFonts w:ascii="Arial" w:hAnsi="Arial" w:cs="Arial"/>
          <w:sz w:val="22"/>
          <w:szCs w:val="22"/>
        </w:rPr>
        <w:t xml:space="preserve"> für alle einen typisch singapurisch-chinesischen Nachnamen ausgewählt: Chan, Chia, </w:t>
      </w:r>
      <w:proofErr w:type="spellStart"/>
      <w:r w:rsidRPr="00FC055E">
        <w:rPr>
          <w:rFonts w:ascii="Arial" w:hAnsi="Arial" w:cs="Arial"/>
          <w:sz w:val="22"/>
          <w:szCs w:val="22"/>
        </w:rPr>
        <w:t>Chua</w:t>
      </w:r>
      <w:proofErr w:type="spellEnd"/>
      <w:r w:rsidRPr="00FC055E">
        <w:rPr>
          <w:rFonts w:ascii="Arial" w:hAnsi="Arial" w:cs="Arial"/>
          <w:sz w:val="22"/>
          <w:szCs w:val="22"/>
        </w:rPr>
        <w:t xml:space="preserve"> und Tan</w:t>
      </w:r>
      <w:r w:rsidRPr="00FC055E">
        <w:rPr>
          <w:rStyle w:val="Funotenzeichen"/>
          <w:rFonts w:ascii="Arial" w:hAnsi="Arial" w:cs="Arial"/>
          <w:sz w:val="22"/>
          <w:szCs w:val="22"/>
        </w:rPr>
        <w:footnoteReference w:id="6"/>
      </w:r>
      <w:r w:rsidRPr="00FC055E">
        <w:rPr>
          <w:rFonts w:ascii="Arial" w:hAnsi="Arial" w:cs="Arial"/>
          <w:sz w:val="22"/>
          <w:szCs w:val="22"/>
        </w:rPr>
        <w:t xml:space="preserve"> Da die Population der Chinesen in den USA relativ groß ist und auch in Vietnam eine chinesische Oberschicht existiert, ist es durchaus plausibel, wenn ein aus Vietnam oder den USA stammender Bewerber einen solchen Nachnamen trägt. Da chinesische Vorna</w:t>
      </w:r>
      <w:r w:rsidR="007B4ED3">
        <w:rPr>
          <w:rFonts w:ascii="Arial" w:hAnsi="Arial" w:cs="Arial"/>
          <w:sz w:val="22"/>
          <w:szCs w:val="22"/>
        </w:rPr>
        <w:t>men für Europäer kompliziert sind</w:t>
      </w:r>
      <w:r w:rsidRPr="00FC055E">
        <w:rPr>
          <w:rFonts w:ascii="Arial" w:hAnsi="Arial" w:cs="Arial"/>
          <w:sz w:val="22"/>
          <w:szCs w:val="22"/>
        </w:rPr>
        <w:t xml:space="preserve"> und zudem in Singapur und unter Asiaten in den USA der Trend besteht, auch amerikanische Vornamen zu vergeben, wurde eine Auswahl </w:t>
      </w:r>
      <w:r w:rsidR="00F20C4F">
        <w:rPr>
          <w:rFonts w:ascii="Arial" w:hAnsi="Arial" w:cs="Arial"/>
          <w:sz w:val="22"/>
          <w:szCs w:val="22"/>
        </w:rPr>
        <w:t>der</w:t>
      </w:r>
      <w:r w:rsidR="00F20C4F" w:rsidRPr="00FC055E">
        <w:rPr>
          <w:rFonts w:ascii="Arial" w:hAnsi="Arial" w:cs="Arial"/>
          <w:sz w:val="22"/>
          <w:szCs w:val="22"/>
        </w:rPr>
        <w:t xml:space="preserve"> </w:t>
      </w:r>
      <w:r w:rsidRPr="00FC055E">
        <w:rPr>
          <w:rFonts w:ascii="Arial" w:hAnsi="Arial" w:cs="Arial"/>
          <w:sz w:val="22"/>
          <w:szCs w:val="22"/>
        </w:rPr>
        <w:t>1992 (dem fiktive</w:t>
      </w:r>
      <w:r w:rsidR="005027EE">
        <w:rPr>
          <w:rFonts w:ascii="Arial" w:hAnsi="Arial" w:cs="Arial"/>
          <w:sz w:val="22"/>
          <w:szCs w:val="22"/>
        </w:rPr>
        <w:t>n</w:t>
      </w:r>
      <w:r w:rsidRPr="00FC055E">
        <w:rPr>
          <w:rFonts w:ascii="Arial" w:hAnsi="Arial" w:cs="Arial"/>
          <w:sz w:val="22"/>
          <w:szCs w:val="22"/>
        </w:rPr>
        <w:t xml:space="preserve"> Geburtsjahr des Doktoranden) am häufigsten vergebenen Vornamen in den USA getroffen: Christopher, Jacob, Justin und Michael. Aus der Kombination der Vor- und Nachnamen und Universitäten ergeben sich</w:t>
      </w:r>
      <w:r w:rsidR="007B4ED3">
        <w:rPr>
          <w:rFonts w:ascii="Arial" w:hAnsi="Arial" w:cs="Arial"/>
          <w:sz w:val="22"/>
          <w:szCs w:val="22"/>
        </w:rPr>
        <w:t xml:space="preserve"> die</w:t>
      </w:r>
      <w:r w:rsidRPr="00FC055E">
        <w:rPr>
          <w:rFonts w:ascii="Arial" w:hAnsi="Arial" w:cs="Arial"/>
          <w:sz w:val="22"/>
          <w:szCs w:val="22"/>
        </w:rPr>
        <w:t xml:space="preserve"> folgenden Bewerberprofile: Jacob Chan (Yale), Michael Chia (NU Singapore), Christopher Tan (Penn State), Justin </w:t>
      </w:r>
      <w:proofErr w:type="spellStart"/>
      <w:r w:rsidRPr="00FC055E">
        <w:rPr>
          <w:rFonts w:ascii="Arial" w:hAnsi="Arial" w:cs="Arial"/>
          <w:sz w:val="22"/>
          <w:szCs w:val="22"/>
        </w:rPr>
        <w:t>Chua</w:t>
      </w:r>
      <w:proofErr w:type="spellEnd"/>
      <w:r w:rsidRPr="00FC055E">
        <w:rPr>
          <w:rFonts w:ascii="Arial" w:hAnsi="Arial" w:cs="Arial"/>
          <w:sz w:val="22"/>
          <w:szCs w:val="22"/>
        </w:rPr>
        <w:t xml:space="preserve"> (VNU Hanoi). Daraus wurden vier Mail-Accounts (gmail.com) mit Erwähnung des Namens und Geburtsjahres angelegt: </w:t>
      </w:r>
      <w:proofErr w:type="gramStart"/>
      <w:r w:rsidRPr="00FC055E">
        <w:rPr>
          <w:rFonts w:ascii="Arial" w:hAnsi="Arial" w:cs="Arial"/>
          <w:sz w:val="22"/>
          <w:szCs w:val="22"/>
        </w:rPr>
        <w:t>justin.chua</w:t>
      </w:r>
      <w:proofErr w:type="gramEnd"/>
      <w:r w:rsidRPr="00FC055E">
        <w:rPr>
          <w:rFonts w:ascii="Arial" w:hAnsi="Arial" w:cs="Arial"/>
          <w:sz w:val="22"/>
          <w:szCs w:val="22"/>
        </w:rPr>
        <w:t xml:space="preserve">1992, tan.christopher1992, michael.chia1992, chan.jacob1992. </w:t>
      </w:r>
    </w:p>
    <w:p w14:paraId="7B58EABA" w14:textId="5AF5686D" w:rsidR="003D5FA1" w:rsidRDefault="00842757" w:rsidP="00D00E20">
      <w:pPr>
        <w:spacing w:after="120" w:line="360" w:lineRule="auto"/>
        <w:jc w:val="both"/>
        <w:rPr>
          <w:rFonts w:ascii="Arial" w:hAnsi="Arial" w:cs="Arial"/>
          <w:sz w:val="22"/>
          <w:szCs w:val="22"/>
        </w:rPr>
      </w:pPr>
      <w:r w:rsidRPr="00FC055E">
        <w:rPr>
          <w:rFonts w:ascii="Arial" w:hAnsi="Arial" w:cs="Arial"/>
          <w:sz w:val="22"/>
          <w:szCs w:val="22"/>
        </w:rPr>
        <w:t>Von diesen Accounts wurden zwischen dem 15. und 19. Juni 2015 (also während der Vorlesungszeit des Sommersemesters) alle 399 Soziologieprofessoren an soziologischen Instituten in Deutschland</w:t>
      </w:r>
      <w:r w:rsidRPr="00FC055E">
        <w:rPr>
          <w:rStyle w:val="Funotenzeichen"/>
          <w:rFonts w:ascii="Arial" w:hAnsi="Arial" w:cs="Arial"/>
          <w:sz w:val="22"/>
          <w:szCs w:val="22"/>
        </w:rPr>
        <w:footnoteReference w:id="7"/>
      </w:r>
      <w:r w:rsidRPr="00FC055E">
        <w:rPr>
          <w:rFonts w:ascii="Arial" w:hAnsi="Arial" w:cs="Arial"/>
          <w:sz w:val="22"/>
          <w:szCs w:val="22"/>
        </w:rPr>
        <w:t xml:space="preserve"> per Email angeschrieben (inklusive Junior-Professoren, aber ohne Emeriti, Professoren außerhalb von </w:t>
      </w:r>
      <w:r w:rsidR="00696F3B">
        <w:rPr>
          <w:rFonts w:ascii="Arial" w:hAnsi="Arial" w:cs="Arial"/>
          <w:sz w:val="22"/>
          <w:szCs w:val="22"/>
        </w:rPr>
        <w:t xml:space="preserve">universitären </w:t>
      </w:r>
      <w:r w:rsidRPr="00FC055E">
        <w:rPr>
          <w:rFonts w:ascii="Arial" w:hAnsi="Arial" w:cs="Arial"/>
          <w:sz w:val="22"/>
          <w:szCs w:val="22"/>
        </w:rPr>
        <w:t xml:space="preserve">Soziologie-Instituten, Privatdozenten, </w:t>
      </w:r>
      <w:r w:rsidR="00696F3B" w:rsidRPr="00FC055E">
        <w:rPr>
          <w:rFonts w:ascii="Arial" w:hAnsi="Arial" w:cs="Arial"/>
          <w:sz w:val="22"/>
          <w:szCs w:val="22"/>
        </w:rPr>
        <w:t>Honorar</w:t>
      </w:r>
      <w:r w:rsidR="00696F3B">
        <w:rPr>
          <w:rFonts w:ascii="Arial" w:hAnsi="Arial" w:cs="Arial"/>
          <w:sz w:val="22"/>
          <w:szCs w:val="22"/>
        </w:rPr>
        <w:t>-</w:t>
      </w:r>
      <w:r w:rsidRPr="00FC055E">
        <w:rPr>
          <w:rFonts w:ascii="Arial" w:hAnsi="Arial" w:cs="Arial"/>
          <w:sz w:val="22"/>
          <w:szCs w:val="22"/>
        </w:rPr>
        <w:t xml:space="preserve">, </w:t>
      </w:r>
      <w:r w:rsidR="00696F3B" w:rsidRPr="00FC055E">
        <w:rPr>
          <w:rFonts w:ascii="Arial" w:hAnsi="Arial" w:cs="Arial"/>
          <w:sz w:val="22"/>
          <w:szCs w:val="22"/>
        </w:rPr>
        <w:t>Vertretungs</w:t>
      </w:r>
      <w:r w:rsidR="00696F3B">
        <w:rPr>
          <w:rFonts w:ascii="Arial" w:hAnsi="Arial" w:cs="Arial"/>
          <w:sz w:val="22"/>
          <w:szCs w:val="22"/>
        </w:rPr>
        <w:t>-</w:t>
      </w:r>
      <w:r w:rsidR="00696F3B" w:rsidRPr="00FC055E">
        <w:rPr>
          <w:rFonts w:ascii="Arial" w:hAnsi="Arial" w:cs="Arial"/>
          <w:sz w:val="22"/>
          <w:szCs w:val="22"/>
        </w:rPr>
        <w:t xml:space="preserve"> </w:t>
      </w:r>
      <w:r w:rsidRPr="00FC055E">
        <w:rPr>
          <w:rFonts w:ascii="Arial" w:hAnsi="Arial" w:cs="Arial"/>
          <w:sz w:val="22"/>
          <w:szCs w:val="22"/>
        </w:rPr>
        <w:t xml:space="preserve">und außerplanmäßigen Professoren). Die vier Bewerberidentitäten wurden dabei per Zufallsgenerator auf die Grundgesamtheit verteilt. Die meisten </w:t>
      </w:r>
      <w:proofErr w:type="gramStart"/>
      <w:r w:rsidRPr="00FC055E">
        <w:rPr>
          <w:rFonts w:ascii="Arial" w:hAnsi="Arial" w:cs="Arial"/>
          <w:sz w:val="22"/>
          <w:szCs w:val="22"/>
        </w:rPr>
        <w:t>Rückantworten</w:t>
      </w:r>
      <w:proofErr w:type="gramEnd"/>
      <w:r w:rsidRPr="00FC055E">
        <w:rPr>
          <w:rFonts w:ascii="Arial" w:hAnsi="Arial" w:cs="Arial"/>
          <w:sz w:val="22"/>
          <w:szCs w:val="22"/>
        </w:rPr>
        <w:t xml:space="preserve"> erfolgten in den ersten zehn Tagen nach Versand; der Erhebungszeitraum endete am 1. Oktober 2015.</w:t>
      </w:r>
    </w:p>
    <w:p w14:paraId="7BC41A0E" w14:textId="2FBFA23C"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In den </w:t>
      </w:r>
      <w:r w:rsidRPr="00FC055E">
        <w:rPr>
          <w:rFonts w:ascii="Arial" w:hAnsi="Arial" w:cs="Arial"/>
          <w:i/>
          <w:sz w:val="22"/>
          <w:szCs w:val="22"/>
        </w:rPr>
        <w:t>Anschreiben</w:t>
      </w:r>
      <w:r w:rsidR="004755F1">
        <w:rPr>
          <w:rFonts w:ascii="Arial" w:hAnsi="Arial" w:cs="Arial"/>
          <w:sz w:val="22"/>
          <w:szCs w:val="22"/>
        </w:rPr>
        <w:t xml:space="preserve"> wurde gefragt</w:t>
      </w:r>
      <w:r w:rsidRPr="00FC055E">
        <w:rPr>
          <w:rFonts w:ascii="Arial" w:hAnsi="Arial" w:cs="Arial"/>
          <w:sz w:val="22"/>
          <w:szCs w:val="22"/>
        </w:rPr>
        <w:t xml:space="preserve">, ob der Adressat bereit wäre, einen Forschungsaufenthalt in Deutschland im Kontext einer Promotion zu betreuen. Die fiktiven Bewerber teilten mit, dass </w:t>
      </w:r>
      <w:r w:rsidRPr="00FC055E">
        <w:rPr>
          <w:rFonts w:ascii="Arial" w:hAnsi="Arial" w:cs="Arial"/>
          <w:sz w:val="22"/>
          <w:szCs w:val="22"/>
        </w:rPr>
        <w:lastRenderedPageBreak/>
        <w:t>sie das College abgeschlossen hätten und an einer Universität für ein PhD-Programm in Soziologie zugelassen seien, das Ende des Jahres beginnen würde.</w:t>
      </w:r>
      <w:r w:rsidRPr="00FC055E">
        <w:rPr>
          <w:rStyle w:val="Funotenzeichen"/>
          <w:rFonts w:ascii="Arial" w:hAnsi="Arial" w:cs="Arial"/>
          <w:sz w:val="22"/>
          <w:szCs w:val="22"/>
        </w:rPr>
        <w:footnoteReference w:id="8"/>
      </w:r>
      <w:r w:rsidRPr="00FC055E">
        <w:rPr>
          <w:rFonts w:ascii="Arial" w:hAnsi="Arial" w:cs="Arial"/>
          <w:sz w:val="22"/>
          <w:szCs w:val="22"/>
        </w:rPr>
        <w:t xml:space="preserve"> Im Rahmen ihres Dissertationsstudiums hätten sie die Möglichkeit, einen Forschungsaufenthalt in Deutschland zu verbringen. Folgende Faktoren wurden bei der Formulierung d</w:t>
      </w:r>
      <w:r w:rsidR="001007E7">
        <w:rPr>
          <w:rFonts w:ascii="Arial" w:hAnsi="Arial" w:cs="Arial"/>
          <w:sz w:val="22"/>
          <w:szCs w:val="22"/>
        </w:rPr>
        <w:t>es Anschreibens berücksichtigt:</w:t>
      </w:r>
    </w:p>
    <w:p w14:paraId="2D288F30" w14:textId="0A8C250F"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(1) Es handelt sich um eine erste Kontaktaufnahme und Frage nach der grundsätzlichen Bereitschaft zur Betreuung eines Auslandsaufenthalts ohne Spezifikation </w:t>
      </w:r>
      <w:r w:rsidR="007D16FF">
        <w:rPr>
          <w:rFonts w:ascii="Arial" w:hAnsi="Arial" w:cs="Arial"/>
          <w:sz w:val="22"/>
          <w:szCs w:val="22"/>
        </w:rPr>
        <w:t>des</w:t>
      </w:r>
      <w:r w:rsidRPr="00FC055E">
        <w:rPr>
          <w:rFonts w:ascii="Arial" w:hAnsi="Arial" w:cs="Arial"/>
          <w:sz w:val="22"/>
          <w:szCs w:val="22"/>
        </w:rPr>
        <w:t xml:space="preserve"> Dissertation</w:t>
      </w:r>
      <w:r w:rsidR="007D16FF">
        <w:rPr>
          <w:rFonts w:ascii="Arial" w:hAnsi="Arial" w:cs="Arial"/>
          <w:sz w:val="22"/>
          <w:szCs w:val="22"/>
        </w:rPr>
        <w:t>sthemas</w:t>
      </w:r>
      <w:r w:rsidRPr="00FC055E">
        <w:rPr>
          <w:rFonts w:ascii="Arial" w:hAnsi="Arial" w:cs="Arial"/>
          <w:sz w:val="22"/>
          <w:szCs w:val="22"/>
        </w:rPr>
        <w:t xml:space="preserve"> oder Zusendung eines „</w:t>
      </w:r>
      <w:proofErr w:type="spellStart"/>
      <w:r w:rsidRPr="00FC055E">
        <w:rPr>
          <w:rFonts w:ascii="Arial" w:hAnsi="Arial" w:cs="Arial"/>
          <w:sz w:val="22"/>
          <w:szCs w:val="22"/>
        </w:rPr>
        <w:t>Proposals</w:t>
      </w:r>
      <w:proofErr w:type="spellEnd"/>
      <w:r w:rsidRPr="00FC055E">
        <w:rPr>
          <w:rFonts w:ascii="Arial" w:hAnsi="Arial" w:cs="Arial"/>
          <w:sz w:val="22"/>
          <w:szCs w:val="22"/>
        </w:rPr>
        <w:t>“. Es wurde lediglich betont, dass der Bewerber mit den Forschungen des Adressaten vertraut sei und diese zu den eigenen Forschungsplänen passen würden (</w:t>
      </w:r>
      <w:r w:rsidRPr="00FC055E">
        <w:rPr>
          <w:rFonts w:ascii="Arial" w:hAnsi="Arial" w:cs="Arial"/>
          <w:i/>
          <w:sz w:val="22"/>
          <w:szCs w:val="22"/>
        </w:rPr>
        <w:t xml:space="preserve">„I </w:t>
      </w:r>
      <w:proofErr w:type="spellStart"/>
      <w:r w:rsidRPr="00FC055E">
        <w:rPr>
          <w:rFonts w:ascii="Arial" w:hAnsi="Arial" w:cs="Arial"/>
          <w:i/>
          <w:sz w:val="22"/>
          <w:szCs w:val="22"/>
        </w:rPr>
        <w:t>have</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read</w:t>
      </w:r>
      <w:proofErr w:type="spellEnd"/>
      <w:r w:rsidRPr="00FC055E">
        <w:rPr>
          <w:rFonts w:ascii="Arial" w:hAnsi="Arial" w:cs="Arial"/>
          <w:i/>
          <w:sz w:val="22"/>
          <w:szCs w:val="22"/>
        </w:rPr>
        <w:t xml:space="preserve"> a </w:t>
      </w:r>
      <w:proofErr w:type="spellStart"/>
      <w:r w:rsidRPr="00FC055E">
        <w:rPr>
          <w:rFonts w:ascii="Arial" w:hAnsi="Arial" w:cs="Arial"/>
          <w:i/>
          <w:sz w:val="22"/>
          <w:szCs w:val="22"/>
        </w:rPr>
        <w:t>number</w:t>
      </w:r>
      <w:proofErr w:type="spellEnd"/>
      <w:r w:rsidRPr="00FC055E">
        <w:rPr>
          <w:rFonts w:ascii="Arial" w:hAnsi="Arial" w:cs="Arial"/>
          <w:i/>
          <w:sz w:val="22"/>
          <w:szCs w:val="22"/>
        </w:rPr>
        <w:t xml:space="preserve"> of </w:t>
      </w:r>
      <w:proofErr w:type="spellStart"/>
      <w:r w:rsidRPr="00FC055E">
        <w:rPr>
          <w:rFonts w:ascii="Arial" w:hAnsi="Arial" w:cs="Arial"/>
          <w:i/>
          <w:sz w:val="22"/>
          <w:szCs w:val="22"/>
        </w:rPr>
        <w:t>your</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publications</w:t>
      </w:r>
      <w:proofErr w:type="spellEnd"/>
      <w:r w:rsidRPr="00FC055E">
        <w:rPr>
          <w:rFonts w:ascii="Arial" w:hAnsi="Arial" w:cs="Arial"/>
          <w:i/>
          <w:sz w:val="22"/>
          <w:szCs w:val="22"/>
        </w:rPr>
        <w:t xml:space="preserve">, and </w:t>
      </w:r>
      <w:proofErr w:type="spellStart"/>
      <w:r w:rsidRPr="00FC055E">
        <w:rPr>
          <w:rFonts w:ascii="Arial" w:hAnsi="Arial" w:cs="Arial"/>
          <w:i/>
          <w:sz w:val="22"/>
          <w:szCs w:val="22"/>
        </w:rPr>
        <w:t>your</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research</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profile</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fits</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perfectly</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with</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my</w:t>
      </w:r>
      <w:proofErr w:type="spellEnd"/>
      <w:r w:rsidRPr="00FC055E">
        <w:rPr>
          <w:rFonts w:ascii="Arial" w:hAnsi="Arial" w:cs="Arial"/>
          <w:i/>
          <w:sz w:val="22"/>
          <w:szCs w:val="22"/>
        </w:rPr>
        <w:t xml:space="preserve"> own </w:t>
      </w:r>
      <w:proofErr w:type="spellStart"/>
      <w:r w:rsidRPr="00FC055E">
        <w:rPr>
          <w:rFonts w:ascii="Arial" w:hAnsi="Arial" w:cs="Arial"/>
          <w:i/>
          <w:sz w:val="22"/>
          <w:szCs w:val="22"/>
        </w:rPr>
        <w:t>first</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dissertation</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ideas</w:t>
      </w:r>
      <w:proofErr w:type="spellEnd"/>
      <w:r w:rsidRPr="00FC055E">
        <w:rPr>
          <w:rFonts w:ascii="Arial" w:hAnsi="Arial" w:cs="Arial"/>
          <w:i/>
          <w:sz w:val="22"/>
          <w:szCs w:val="22"/>
        </w:rPr>
        <w:t>“)</w:t>
      </w:r>
      <w:r w:rsidRPr="00FC055E">
        <w:rPr>
          <w:rFonts w:ascii="Arial" w:hAnsi="Arial" w:cs="Arial"/>
          <w:sz w:val="22"/>
          <w:szCs w:val="22"/>
        </w:rPr>
        <w:t xml:space="preserve">. So konnten alle Adressaten das gleiche Anschreiben erhalten, ohne dass dadurch eine unterschiedliche Kompatibilität der Forschungsfrage des Bewerbers mit den Forschungsinteressen des </w:t>
      </w:r>
      <w:proofErr w:type="gramStart"/>
      <w:r w:rsidRPr="00FC055E">
        <w:rPr>
          <w:rFonts w:ascii="Arial" w:hAnsi="Arial" w:cs="Arial"/>
          <w:sz w:val="22"/>
          <w:szCs w:val="22"/>
        </w:rPr>
        <w:t>potentiell</w:t>
      </w:r>
      <w:proofErr w:type="gramEnd"/>
      <w:r w:rsidRPr="00FC055E">
        <w:rPr>
          <w:rFonts w:ascii="Arial" w:hAnsi="Arial" w:cs="Arial"/>
          <w:sz w:val="22"/>
          <w:szCs w:val="22"/>
        </w:rPr>
        <w:t xml:space="preserve"> betreuenden Professors das Antwor</w:t>
      </w:r>
      <w:r w:rsidR="00ED441A">
        <w:rPr>
          <w:rFonts w:ascii="Arial" w:hAnsi="Arial" w:cs="Arial"/>
          <w:sz w:val="22"/>
          <w:szCs w:val="22"/>
        </w:rPr>
        <w:t>tverhalten beeinflussen konnte.</w:t>
      </w:r>
    </w:p>
    <w:p w14:paraId="0809E0E9" w14:textId="00255981"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(2) Da die Betreuungsbereitschaft von der Englischkompetenz des Empfängers beeinflusst werden kann, wurde im englischsprachigen Anschreiben betont, dass der Bewerber auch Deutsch spricht und der Empfänger a</w:t>
      </w:r>
      <w:r w:rsidR="00ED441A">
        <w:rPr>
          <w:rFonts w:ascii="Arial" w:hAnsi="Arial" w:cs="Arial"/>
          <w:sz w:val="22"/>
          <w:szCs w:val="22"/>
        </w:rPr>
        <w:t>uch auf Deutsch antworten kann.</w:t>
      </w:r>
    </w:p>
    <w:p w14:paraId="7E05EE28" w14:textId="147F65D3"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(3) Da die Betreuungswahrscheinlichkeit mit dem notwendigen Betreuungsaufwand vermutlich sinkt, wurde betont, dass die zeitlichen und finanziellen Kosten für den angefragten Professor gering sein </w:t>
      </w:r>
      <w:r w:rsidR="00FF1246">
        <w:rPr>
          <w:rFonts w:ascii="Arial" w:hAnsi="Arial" w:cs="Arial"/>
          <w:sz w:val="22"/>
          <w:szCs w:val="22"/>
        </w:rPr>
        <w:t>würden</w:t>
      </w:r>
      <w:r w:rsidRPr="00FC055E">
        <w:rPr>
          <w:rFonts w:ascii="Arial" w:hAnsi="Arial" w:cs="Arial"/>
          <w:sz w:val="22"/>
          <w:szCs w:val="22"/>
        </w:rPr>
        <w:t>, da es sich nur um einen Gastaufenthalt</w:t>
      </w:r>
      <w:r w:rsidR="007D16FF">
        <w:rPr>
          <w:rFonts w:ascii="Arial" w:hAnsi="Arial" w:cs="Arial"/>
          <w:sz w:val="22"/>
          <w:szCs w:val="22"/>
        </w:rPr>
        <w:t xml:space="preserve"> ohne institutionelle Einbindung handle, kein Gutachten notwendig und die Finanzierung des Forschungsaufenthaltes gesichert sei. Auch </w:t>
      </w:r>
      <w:r w:rsidR="00420029">
        <w:rPr>
          <w:rFonts w:ascii="Arial" w:hAnsi="Arial" w:cs="Arial"/>
          <w:sz w:val="22"/>
          <w:szCs w:val="22"/>
        </w:rPr>
        <w:t>dessen</w:t>
      </w:r>
      <w:r w:rsidR="007D16FF">
        <w:rPr>
          <w:rFonts w:ascii="Arial" w:hAnsi="Arial" w:cs="Arial"/>
          <w:sz w:val="22"/>
          <w:szCs w:val="22"/>
        </w:rPr>
        <w:t xml:space="preserve"> Verantwortung für das Gelingen der Dissertation ist gering, da diese an der Heimatuniversität eingereicht werden soll.</w:t>
      </w:r>
      <w:r w:rsidRPr="00FC055E">
        <w:rPr>
          <w:rFonts w:ascii="Arial" w:hAnsi="Arial" w:cs="Arial"/>
          <w:sz w:val="22"/>
          <w:szCs w:val="22"/>
        </w:rPr>
        <w:t xml:space="preserve"> Der Aufwand besteht allein in Beratungsgesprächen während des Aufenthalts. Insofern ist der Druck, eine falsche Entscheidung zu treffen, gering; die Entscheidungssituation des Adressaten gleicht der einer Ni</w:t>
      </w:r>
      <w:r w:rsidR="00B6478E">
        <w:rPr>
          <w:rFonts w:ascii="Arial" w:hAnsi="Arial" w:cs="Arial"/>
          <w:sz w:val="22"/>
          <w:szCs w:val="22"/>
        </w:rPr>
        <w:t>edrigkostensituation (Diekmann und</w:t>
      </w:r>
      <w:r w:rsidR="00F53924">
        <w:rPr>
          <w:rFonts w:ascii="Arial" w:hAnsi="Arial" w:cs="Arial"/>
          <w:sz w:val="22"/>
          <w:szCs w:val="22"/>
        </w:rPr>
        <w:t xml:space="preserve"> </w:t>
      </w:r>
      <w:proofErr w:type="spellStart"/>
      <w:r w:rsidR="00F53924">
        <w:rPr>
          <w:rFonts w:ascii="Arial" w:hAnsi="Arial" w:cs="Arial"/>
          <w:sz w:val="22"/>
          <w:szCs w:val="22"/>
        </w:rPr>
        <w:t>Preisendörfer</w:t>
      </w:r>
      <w:proofErr w:type="spellEnd"/>
      <w:r w:rsidR="00F53924">
        <w:rPr>
          <w:rFonts w:ascii="Arial" w:hAnsi="Arial" w:cs="Arial"/>
          <w:sz w:val="22"/>
          <w:szCs w:val="22"/>
        </w:rPr>
        <w:t xml:space="preserve"> 2003).</w:t>
      </w:r>
    </w:p>
    <w:p w14:paraId="448E787B" w14:textId="091669B9" w:rsidR="00842757" w:rsidRPr="00FC055E" w:rsidRDefault="00E8717B" w:rsidP="00D00E20">
      <w:pPr>
        <w:spacing w:after="120" w:line="360" w:lineRule="auto"/>
        <w:jc w:val="both"/>
        <w:rPr>
          <w:rFonts w:ascii="Arial" w:hAnsi="Arial" w:cs="Arial"/>
          <w:sz w:val="22"/>
          <w:szCs w:val="22"/>
        </w:rPr>
      </w:pPr>
      <w:r>
        <w:rPr>
          <w:rFonts w:ascii="Arial" w:hAnsi="Arial" w:cs="Arial"/>
          <w:sz w:val="22"/>
          <w:szCs w:val="22"/>
        </w:rPr>
        <w:t>Unsere</w:t>
      </w:r>
      <w:r w:rsidRPr="00FC055E">
        <w:rPr>
          <w:rFonts w:ascii="Arial" w:hAnsi="Arial" w:cs="Arial"/>
          <w:sz w:val="22"/>
          <w:szCs w:val="22"/>
        </w:rPr>
        <w:t xml:space="preserve"> </w:t>
      </w:r>
      <w:r w:rsidR="00842757" w:rsidRPr="00FC055E">
        <w:rPr>
          <w:rFonts w:ascii="Arial" w:hAnsi="Arial" w:cs="Arial"/>
          <w:i/>
          <w:sz w:val="22"/>
          <w:szCs w:val="22"/>
        </w:rPr>
        <w:t>abhängige Variable</w:t>
      </w:r>
      <w:r w:rsidR="00842757" w:rsidRPr="00FC055E">
        <w:rPr>
          <w:rFonts w:ascii="Arial" w:hAnsi="Arial" w:cs="Arial"/>
          <w:sz w:val="22"/>
          <w:szCs w:val="22"/>
        </w:rPr>
        <w:t xml:space="preserve"> bildet das Antwortverhalten der kontaktierten Hochschullehrer</w:t>
      </w:r>
      <w:r w:rsidR="003952D2" w:rsidRPr="00FC055E">
        <w:rPr>
          <w:rFonts w:ascii="Arial" w:hAnsi="Arial" w:cs="Arial"/>
          <w:sz w:val="22"/>
          <w:szCs w:val="22"/>
        </w:rPr>
        <w:t xml:space="preserve">; </w:t>
      </w:r>
      <w:r w:rsidR="00842757" w:rsidRPr="00FC055E">
        <w:rPr>
          <w:rFonts w:ascii="Arial" w:hAnsi="Arial" w:cs="Arial"/>
          <w:sz w:val="22"/>
          <w:szCs w:val="22"/>
        </w:rPr>
        <w:t>die zentralen unabhängigen Variablen sind das Herkunftsland, die Herkunftsuniversität und das Herkunftsinstitut des Absenders und das damit verbundene symbolische Kapital. Zudem haben wir für alle Adressaten</w:t>
      </w:r>
      <w:r w:rsidR="003952D2" w:rsidRPr="00FC055E">
        <w:rPr>
          <w:rFonts w:ascii="Arial" w:hAnsi="Arial" w:cs="Arial"/>
          <w:sz w:val="22"/>
          <w:szCs w:val="22"/>
        </w:rPr>
        <w:t xml:space="preserve"> </w:t>
      </w:r>
      <w:r w:rsidR="00842757" w:rsidRPr="00FC055E">
        <w:rPr>
          <w:rFonts w:ascii="Arial" w:hAnsi="Arial" w:cs="Arial"/>
          <w:sz w:val="22"/>
          <w:szCs w:val="22"/>
        </w:rPr>
        <w:t>das Alter, den Status (Juniorprofessor bis W3), die Forschungsaktivität (DFG-Projekte seit 2008), die internationale Erfahrung (Studienabschluss im Ausland) und das Geburtsland erhoben. Wir vermuten, dass Professoren mit mehr Forschungserfahrung oder einem internationalen Lebenslauf internationalen Bewerbungen gegenüber offener sind als andere.</w:t>
      </w:r>
    </w:p>
    <w:p w14:paraId="28B0DB94" w14:textId="3FDE4E47"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lastRenderedPageBreak/>
        <w:t xml:space="preserve">Nach der Analyse des Antwortverhaltens haben wir den Inhalt der erfolgten </w:t>
      </w:r>
      <w:proofErr w:type="gramStart"/>
      <w:r w:rsidRPr="00FC055E">
        <w:rPr>
          <w:rFonts w:ascii="Arial" w:hAnsi="Arial" w:cs="Arial"/>
          <w:sz w:val="22"/>
          <w:szCs w:val="22"/>
        </w:rPr>
        <w:t>Rückantworten</w:t>
      </w:r>
      <w:proofErr w:type="gramEnd"/>
      <w:r w:rsidRPr="00FC055E">
        <w:rPr>
          <w:rFonts w:ascii="Arial" w:hAnsi="Arial" w:cs="Arial"/>
          <w:sz w:val="22"/>
          <w:szCs w:val="22"/>
        </w:rPr>
        <w:t xml:space="preserve"> einer </w:t>
      </w:r>
      <w:r w:rsidRPr="00FC055E">
        <w:rPr>
          <w:rFonts w:ascii="Arial" w:hAnsi="Arial" w:cs="Arial"/>
          <w:i/>
          <w:sz w:val="22"/>
          <w:szCs w:val="22"/>
        </w:rPr>
        <w:t>Inhaltsanalys</w:t>
      </w:r>
      <w:r w:rsidRPr="00FC055E">
        <w:rPr>
          <w:rFonts w:ascii="Arial" w:hAnsi="Arial" w:cs="Arial"/>
          <w:sz w:val="22"/>
          <w:szCs w:val="22"/>
        </w:rPr>
        <w:t>e unterzogen. Unter Verwendung eines induktiv generierten Codeschemas haben wir zum einen die Ausführlichkeit der Antwort</w:t>
      </w:r>
      <w:r w:rsidR="002D0D3A">
        <w:rPr>
          <w:rFonts w:ascii="Arial" w:hAnsi="Arial" w:cs="Arial"/>
          <w:sz w:val="22"/>
          <w:szCs w:val="22"/>
        </w:rPr>
        <w:t>en</w:t>
      </w:r>
      <w:r w:rsidR="008A79DC">
        <w:rPr>
          <w:rFonts w:ascii="Arial" w:hAnsi="Arial" w:cs="Arial"/>
          <w:sz w:val="22"/>
          <w:szCs w:val="22"/>
        </w:rPr>
        <w:t xml:space="preserve"> (Wörterzahl und Informationsgehalt), zum anderen den Grad ihrer Verbindlichkeit (</w:t>
      </w:r>
      <w:r w:rsidR="00152C2F">
        <w:rPr>
          <w:rFonts w:ascii="Arial" w:hAnsi="Arial" w:cs="Arial"/>
          <w:sz w:val="22"/>
          <w:szCs w:val="22"/>
        </w:rPr>
        <w:t xml:space="preserve">explizite </w:t>
      </w:r>
      <w:r w:rsidR="008A79DC">
        <w:rPr>
          <w:rFonts w:ascii="Arial" w:hAnsi="Arial" w:cs="Arial"/>
          <w:sz w:val="22"/>
          <w:szCs w:val="22"/>
        </w:rPr>
        <w:t>Interessensbekundungen, Emotionsäußerungen, Informalität der Anrede)</w:t>
      </w:r>
      <w:r w:rsidRPr="00FC055E">
        <w:rPr>
          <w:rFonts w:ascii="Arial" w:hAnsi="Arial" w:cs="Arial"/>
          <w:sz w:val="22"/>
          <w:szCs w:val="22"/>
        </w:rPr>
        <w:t xml:space="preserve"> erfasst.</w:t>
      </w:r>
      <w:r w:rsidR="009B2888">
        <w:rPr>
          <w:rFonts w:ascii="Arial" w:hAnsi="Arial" w:cs="Arial"/>
          <w:sz w:val="22"/>
          <w:szCs w:val="22"/>
        </w:rPr>
        <w:t xml:space="preserve"> </w:t>
      </w:r>
      <w:r w:rsidRPr="00FC055E">
        <w:rPr>
          <w:rFonts w:ascii="Arial" w:hAnsi="Arial" w:cs="Arial"/>
          <w:sz w:val="22"/>
          <w:szCs w:val="22"/>
        </w:rPr>
        <w:t>Über die Kategorien der Inhaltsanalyse berichten wir im Kontext der Auswertung im zweiten Teil des folgend</w:t>
      </w:r>
      <w:r w:rsidR="00FF1246">
        <w:rPr>
          <w:rFonts w:ascii="Arial" w:hAnsi="Arial" w:cs="Arial"/>
          <w:sz w:val="22"/>
          <w:szCs w:val="22"/>
        </w:rPr>
        <w:t>en Kapitels noch ausführlicher.</w:t>
      </w:r>
    </w:p>
    <w:p w14:paraId="23E48EE4" w14:textId="77777777" w:rsidR="00842757" w:rsidRPr="00FC055E" w:rsidRDefault="00842757" w:rsidP="00D00E20">
      <w:pPr>
        <w:spacing w:after="120" w:line="360" w:lineRule="auto"/>
        <w:jc w:val="both"/>
        <w:rPr>
          <w:rFonts w:ascii="Arial" w:hAnsi="Arial" w:cs="Arial"/>
          <w:sz w:val="22"/>
          <w:szCs w:val="22"/>
          <w:highlight w:val="yellow"/>
        </w:rPr>
      </w:pPr>
    </w:p>
    <w:p w14:paraId="124A774E" w14:textId="77777777" w:rsidR="00842757" w:rsidRPr="00FC055E" w:rsidRDefault="00842757" w:rsidP="00D00E20">
      <w:pPr>
        <w:spacing w:after="120" w:line="360" w:lineRule="auto"/>
        <w:jc w:val="both"/>
        <w:rPr>
          <w:rFonts w:ascii="Arial" w:hAnsi="Arial" w:cs="Arial"/>
          <w:b/>
          <w:sz w:val="22"/>
          <w:szCs w:val="22"/>
        </w:rPr>
      </w:pPr>
      <w:r w:rsidRPr="00FC055E">
        <w:rPr>
          <w:rFonts w:ascii="Arial" w:hAnsi="Arial" w:cs="Arial"/>
          <w:b/>
          <w:sz w:val="22"/>
          <w:szCs w:val="22"/>
        </w:rPr>
        <w:t xml:space="preserve">3. Ergebnisse </w:t>
      </w:r>
    </w:p>
    <w:p w14:paraId="4DCFA0D6" w14:textId="77777777" w:rsidR="00842757" w:rsidRPr="00FC055E" w:rsidRDefault="00842757" w:rsidP="00D00E20">
      <w:pPr>
        <w:spacing w:after="120" w:line="360" w:lineRule="auto"/>
        <w:jc w:val="both"/>
        <w:rPr>
          <w:rFonts w:ascii="Arial" w:hAnsi="Arial" w:cs="Arial"/>
          <w:b/>
          <w:i/>
          <w:sz w:val="22"/>
          <w:szCs w:val="22"/>
        </w:rPr>
      </w:pPr>
      <w:r w:rsidRPr="00FC055E">
        <w:rPr>
          <w:rFonts w:ascii="Arial" w:hAnsi="Arial" w:cs="Arial"/>
          <w:b/>
          <w:i/>
          <w:sz w:val="22"/>
          <w:szCs w:val="22"/>
        </w:rPr>
        <w:t xml:space="preserve">3.1 Wer bekommt eine positive Resonanz? </w:t>
      </w:r>
    </w:p>
    <w:p w14:paraId="3159FFBE" w14:textId="29F6007C"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Auf die fiktiven Betreuungsanfragen gibt es vier verschiedene Antwortmöglichkeiten. Die angeschriebenen Professoren konnten </w:t>
      </w:r>
      <w:r w:rsidR="004450FE" w:rsidRPr="00FC055E">
        <w:rPr>
          <w:rFonts w:ascii="Arial" w:hAnsi="Arial" w:cs="Arial"/>
          <w:sz w:val="22"/>
          <w:szCs w:val="22"/>
        </w:rPr>
        <w:t xml:space="preserve">a) </w:t>
      </w:r>
      <w:r w:rsidRPr="00FC055E">
        <w:rPr>
          <w:rFonts w:ascii="Arial" w:hAnsi="Arial" w:cs="Arial"/>
          <w:sz w:val="22"/>
          <w:szCs w:val="22"/>
        </w:rPr>
        <w:t xml:space="preserve">gar nicht antworten – das taten 54,1%, </w:t>
      </w:r>
      <w:r w:rsidR="004450FE" w:rsidRPr="00FC055E">
        <w:rPr>
          <w:rFonts w:ascii="Arial" w:hAnsi="Arial" w:cs="Arial"/>
          <w:sz w:val="22"/>
          <w:szCs w:val="22"/>
        </w:rPr>
        <w:t xml:space="preserve">b) </w:t>
      </w:r>
      <w:r w:rsidRPr="00FC055E">
        <w:rPr>
          <w:rFonts w:ascii="Arial" w:hAnsi="Arial" w:cs="Arial"/>
          <w:sz w:val="22"/>
          <w:szCs w:val="22"/>
        </w:rPr>
        <w:t xml:space="preserve">eine Betreuung ablehnen (7,5%), </w:t>
      </w:r>
      <w:r w:rsidR="004450FE" w:rsidRPr="00FC055E">
        <w:rPr>
          <w:rFonts w:ascii="Arial" w:hAnsi="Arial" w:cs="Arial"/>
          <w:sz w:val="22"/>
          <w:szCs w:val="22"/>
        </w:rPr>
        <w:t xml:space="preserve">c) </w:t>
      </w:r>
      <w:r w:rsidRPr="00FC055E">
        <w:rPr>
          <w:rFonts w:ascii="Arial" w:hAnsi="Arial" w:cs="Arial"/>
          <w:sz w:val="22"/>
          <w:szCs w:val="22"/>
        </w:rPr>
        <w:t xml:space="preserve">einer Betreuung zustimmen (0,5%) oder </w:t>
      </w:r>
      <w:r w:rsidR="004450FE" w:rsidRPr="00FC055E">
        <w:rPr>
          <w:rFonts w:ascii="Arial" w:hAnsi="Arial" w:cs="Arial"/>
          <w:sz w:val="22"/>
          <w:szCs w:val="22"/>
        </w:rPr>
        <w:t xml:space="preserve">d) </w:t>
      </w:r>
      <w:r w:rsidRPr="00FC055E">
        <w:rPr>
          <w:rFonts w:ascii="Arial" w:hAnsi="Arial" w:cs="Arial"/>
          <w:sz w:val="22"/>
          <w:szCs w:val="22"/>
        </w:rPr>
        <w:t>grundsätzliches Interesse bekunden, aber um weitere Informationen bitten (37,8%). In den folgenden Auswertungen arbeiten wir mit einer dichotomisierten abhängigen Variable: „Keine Antwort“ und „Absage“ wurden als „nicht an einer Betreuung interessiert“ kodiert</w:t>
      </w:r>
      <w:r w:rsidR="00614DE1">
        <w:rPr>
          <w:rFonts w:ascii="Arial" w:hAnsi="Arial" w:cs="Arial"/>
          <w:sz w:val="22"/>
          <w:szCs w:val="22"/>
        </w:rPr>
        <w:t xml:space="preserve">; </w:t>
      </w:r>
      <w:r w:rsidRPr="00FC055E">
        <w:rPr>
          <w:rFonts w:ascii="Arial" w:hAnsi="Arial" w:cs="Arial"/>
          <w:sz w:val="22"/>
          <w:szCs w:val="22"/>
        </w:rPr>
        <w:t>eine Zusage und eine Nachfrage nach weiteren Informationen wurde als „potentiell an einer Betreuung interessiert“ kodiert</w:t>
      </w:r>
      <w:r w:rsidR="00614DE1">
        <w:rPr>
          <w:rFonts w:ascii="Arial" w:hAnsi="Arial" w:cs="Arial"/>
          <w:sz w:val="22"/>
          <w:szCs w:val="22"/>
        </w:rPr>
        <w:t xml:space="preserve">. </w:t>
      </w:r>
    </w:p>
    <w:p w14:paraId="64B4F93B" w14:textId="1680081A"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Bevor wir uns der zentralen Auswertungsdimension</w:t>
      </w:r>
      <w:r w:rsidR="004450FE" w:rsidRPr="00FC055E">
        <w:rPr>
          <w:rFonts w:ascii="Arial" w:hAnsi="Arial" w:cs="Arial"/>
          <w:sz w:val="22"/>
          <w:szCs w:val="22"/>
        </w:rPr>
        <w:t>,</w:t>
      </w:r>
      <w:r w:rsidRPr="00FC055E">
        <w:rPr>
          <w:rFonts w:ascii="Arial" w:hAnsi="Arial" w:cs="Arial"/>
          <w:sz w:val="22"/>
          <w:szCs w:val="22"/>
        </w:rPr>
        <w:t xml:space="preserve"> der Herkunft der fiktiven Absender</w:t>
      </w:r>
      <w:r w:rsidR="004450FE" w:rsidRPr="00FC055E">
        <w:rPr>
          <w:rFonts w:ascii="Arial" w:hAnsi="Arial" w:cs="Arial"/>
          <w:sz w:val="22"/>
          <w:szCs w:val="22"/>
        </w:rPr>
        <w:t>,</w:t>
      </w:r>
      <w:r w:rsidRPr="00FC055E">
        <w:rPr>
          <w:rFonts w:ascii="Arial" w:hAnsi="Arial" w:cs="Arial"/>
          <w:sz w:val="22"/>
          <w:szCs w:val="22"/>
        </w:rPr>
        <w:t xml:space="preserve"> widmen, gehen wir kurz darauf ein, inwieweit das Antwortverhalten von Merkmalen der Adressaten beeinflusst wird.</w:t>
      </w:r>
      <w:r w:rsidR="00210257">
        <w:rPr>
          <w:rFonts w:ascii="Arial" w:hAnsi="Arial" w:cs="Arial"/>
          <w:sz w:val="22"/>
          <w:szCs w:val="22"/>
        </w:rPr>
        <w:t xml:space="preserve"> </w:t>
      </w:r>
      <w:r w:rsidR="00614DE1">
        <w:rPr>
          <w:rFonts w:ascii="Arial" w:hAnsi="Arial" w:cs="Arial"/>
          <w:sz w:val="22"/>
          <w:szCs w:val="22"/>
        </w:rPr>
        <w:t>W</w:t>
      </w:r>
      <w:r w:rsidRPr="00FC055E">
        <w:rPr>
          <w:rFonts w:ascii="Arial" w:hAnsi="Arial" w:cs="Arial"/>
          <w:sz w:val="22"/>
          <w:szCs w:val="22"/>
        </w:rPr>
        <w:t xml:space="preserve">eder das Geschlecht noch die Forschungsaktivitäten (DFG-Projekte) der Angeschriebenen </w:t>
      </w:r>
      <w:r w:rsidR="00614DE1">
        <w:rPr>
          <w:rFonts w:ascii="Arial" w:hAnsi="Arial" w:cs="Arial"/>
          <w:sz w:val="22"/>
          <w:szCs w:val="22"/>
        </w:rPr>
        <w:t xml:space="preserve">haben </w:t>
      </w:r>
      <w:r w:rsidRPr="00FC055E">
        <w:rPr>
          <w:rFonts w:ascii="Arial" w:hAnsi="Arial" w:cs="Arial"/>
          <w:sz w:val="22"/>
          <w:szCs w:val="22"/>
        </w:rPr>
        <w:t xml:space="preserve">einen Einfluss auf die Bereitschaft, einen ausländischen Doktoranden zu betreuen. Allerdings </w:t>
      </w:r>
      <w:r w:rsidR="005157C3">
        <w:rPr>
          <w:rFonts w:ascii="Arial" w:hAnsi="Arial" w:cs="Arial"/>
          <w:sz w:val="22"/>
          <w:szCs w:val="22"/>
        </w:rPr>
        <w:t>stimmen</w:t>
      </w:r>
      <w:r w:rsidRPr="00FC055E">
        <w:rPr>
          <w:rFonts w:ascii="Arial" w:hAnsi="Arial" w:cs="Arial"/>
          <w:sz w:val="22"/>
          <w:szCs w:val="22"/>
        </w:rPr>
        <w:t xml:space="preserve"> jüngere Alterskohorten – und damit auch die Juniorprofessoren – eher einer Betreuung zu als Ältere. Die deutlichsten U</w:t>
      </w:r>
      <w:r w:rsidR="00E72249">
        <w:rPr>
          <w:rFonts w:ascii="Arial" w:hAnsi="Arial" w:cs="Arial"/>
          <w:sz w:val="22"/>
          <w:szCs w:val="22"/>
        </w:rPr>
        <w:t>nterschiede ergeben sich aber in</w:t>
      </w:r>
      <w:r w:rsidRPr="00FC055E">
        <w:rPr>
          <w:rFonts w:ascii="Arial" w:hAnsi="Arial" w:cs="Arial"/>
          <w:sz w:val="22"/>
          <w:szCs w:val="22"/>
        </w:rPr>
        <w:t xml:space="preserve"> Hinblick auf das Geburtsland des Hochschullehrers und das Land des Studienabschlusses. Während 50% der Professoren, die im Ausland geboren wurden bzw. im Ausland ihr Studium abgeschlossen haben, eine positive </w:t>
      </w:r>
      <w:proofErr w:type="gramStart"/>
      <w:r w:rsidRPr="00FC055E">
        <w:rPr>
          <w:rFonts w:ascii="Arial" w:hAnsi="Arial" w:cs="Arial"/>
          <w:sz w:val="22"/>
          <w:szCs w:val="22"/>
        </w:rPr>
        <w:t>Rückantwort</w:t>
      </w:r>
      <w:proofErr w:type="gramEnd"/>
      <w:r w:rsidRPr="00FC055E">
        <w:rPr>
          <w:rFonts w:ascii="Arial" w:hAnsi="Arial" w:cs="Arial"/>
          <w:sz w:val="22"/>
          <w:szCs w:val="22"/>
        </w:rPr>
        <w:t xml:space="preserve"> gegeben haben, </w:t>
      </w:r>
      <w:r w:rsidR="00413B83">
        <w:rPr>
          <w:rFonts w:ascii="Arial" w:hAnsi="Arial" w:cs="Arial"/>
          <w:sz w:val="22"/>
          <w:szCs w:val="22"/>
        </w:rPr>
        <w:t>taten das</w:t>
      </w:r>
      <w:r w:rsidRPr="00FC055E">
        <w:rPr>
          <w:rFonts w:ascii="Arial" w:hAnsi="Arial" w:cs="Arial"/>
          <w:sz w:val="22"/>
          <w:szCs w:val="22"/>
        </w:rPr>
        <w:t xml:space="preserve"> nur 29% der in Deutschland geborenen Hoch</w:t>
      </w:r>
      <w:r w:rsidR="00586012">
        <w:rPr>
          <w:rFonts w:ascii="Arial" w:hAnsi="Arial" w:cs="Arial"/>
          <w:sz w:val="22"/>
          <w:szCs w:val="22"/>
        </w:rPr>
        <w:t xml:space="preserve">schullehrer, bzw. 35,5% </w:t>
      </w:r>
      <w:r w:rsidRPr="00FC055E">
        <w:rPr>
          <w:rFonts w:ascii="Arial" w:hAnsi="Arial" w:cs="Arial"/>
          <w:sz w:val="22"/>
          <w:szCs w:val="22"/>
        </w:rPr>
        <w:t xml:space="preserve">derjenigen, die in Deutschland studiert haben. </w:t>
      </w:r>
    </w:p>
    <w:p w14:paraId="0DCA4B24" w14:textId="02E83BDA" w:rsidR="00842757" w:rsidRDefault="00842757" w:rsidP="00D00E20">
      <w:pPr>
        <w:spacing w:after="120" w:line="360" w:lineRule="auto"/>
        <w:jc w:val="both"/>
        <w:rPr>
          <w:rFonts w:ascii="Arial" w:hAnsi="Arial" w:cs="Arial"/>
          <w:sz w:val="22"/>
          <w:szCs w:val="22"/>
        </w:rPr>
      </w:pPr>
      <w:r w:rsidRPr="00FC055E">
        <w:rPr>
          <w:rFonts w:ascii="Arial" w:hAnsi="Arial" w:cs="Arial"/>
          <w:sz w:val="22"/>
          <w:szCs w:val="22"/>
        </w:rPr>
        <w:t>Unsere eigentliche Forschungsfrage ist aber darauf gerichtet, herauszufinden, ob das mit dem Herkunftsland und der Herkunftsuniversität verbundene symbolische Kapital der Bewerber einen Einfluss auf die Chancen hat, als Gastdoktorand eingeladen zu werden. Hierüber gibt Tabelle 1 Auskunft. Sie zeigt für jede der vier Universitäten</w:t>
      </w:r>
      <w:r w:rsidR="00707E11">
        <w:rPr>
          <w:rFonts w:ascii="Arial" w:hAnsi="Arial" w:cs="Arial"/>
          <w:sz w:val="22"/>
          <w:szCs w:val="22"/>
        </w:rPr>
        <w:t xml:space="preserve"> und zusammengefasst für beide Herkunftsregionen, </w:t>
      </w:r>
      <w:r w:rsidRPr="00FC055E">
        <w:rPr>
          <w:rFonts w:ascii="Arial" w:hAnsi="Arial" w:cs="Arial"/>
          <w:sz w:val="22"/>
          <w:szCs w:val="22"/>
        </w:rPr>
        <w:t>welcher Anteil der fiktiven Bewerber eine positive bzw. negative oder gar keine Rückmeldung bekommen hat</w:t>
      </w:r>
      <w:r w:rsidR="009825C3">
        <w:rPr>
          <w:rFonts w:ascii="Arial" w:hAnsi="Arial" w:cs="Arial"/>
          <w:sz w:val="22"/>
          <w:szCs w:val="22"/>
        </w:rPr>
        <w:t>.</w:t>
      </w:r>
    </w:p>
    <w:p w14:paraId="7815AF83" w14:textId="7F6D61F7" w:rsidR="00B250A6" w:rsidRDefault="00B250A6" w:rsidP="00D00E20">
      <w:pPr>
        <w:spacing w:after="120" w:line="360" w:lineRule="auto"/>
        <w:jc w:val="both"/>
        <w:rPr>
          <w:rFonts w:ascii="Arial" w:hAnsi="Arial" w:cs="Arial"/>
          <w:sz w:val="22"/>
          <w:szCs w:val="22"/>
        </w:rPr>
      </w:pPr>
    </w:p>
    <w:p w14:paraId="22543CD0" w14:textId="1793066C" w:rsidR="00B250A6" w:rsidRDefault="00B250A6" w:rsidP="00D00E20">
      <w:pPr>
        <w:spacing w:after="120" w:line="360" w:lineRule="auto"/>
        <w:jc w:val="both"/>
        <w:rPr>
          <w:rFonts w:ascii="Arial" w:hAnsi="Arial" w:cs="Arial"/>
          <w:sz w:val="22"/>
          <w:szCs w:val="22"/>
        </w:rPr>
      </w:pPr>
    </w:p>
    <w:p w14:paraId="7E6A09D0" w14:textId="222453F6" w:rsidR="00B250A6" w:rsidRDefault="00B250A6" w:rsidP="00D00E20">
      <w:pPr>
        <w:spacing w:after="120" w:line="360" w:lineRule="auto"/>
        <w:jc w:val="both"/>
        <w:rPr>
          <w:rFonts w:ascii="Arial" w:hAnsi="Arial" w:cs="Arial"/>
          <w:sz w:val="22"/>
          <w:szCs w:val="22"/>
        </w:rPr>
      </w:pPr>
    </w:p>
    <w:p w14:paraId="66B5D091" w14:textId="644305EF" w:rsidR="00B250A6" w:rsidRDefault="00B250A6" w:rsidP="00D00E20">
      <w:pPr>
        <w:spacing w:after="120" w:line="360" w:lineRule="auto"/>
        <w:jc w:val="both"/>
        <w:rPr>
          <w:rFonts w:ascii="Arial" w:hAnsi="Arial" w:cs="Arial"/>
          <w:sz w:val="22"/>
          <w:szCs w:val="22"/>
        </w:rPr>
      </w:pPr>
    </w:p>
    <w:p w14:paraId="7A478E18" w14:textId="21E5602D" w:rsidR="00B250A6" w:rsidRDefault="00B250A6" w:rsidP="00D00E20">
      <w:pPr>
        <w:spacing w:after="120" w:line="360" w:lineRule="auto"/>
        <w:jc w:val="both"/>
        <w:rPr>
          <w:rFonts w:ascii="Arial" w:hAnsi="Arial" w:cs="Arial"/>
          <w:sz w:val="22"/>
          <w:szCs w:val="22"/>
        </w:rPr>
      </w:pPr>
    </w:p>
    <w:p w14:paraId="77A75FD5" w14:textId="0A1E2ECC" w:rsidR="00B250A6" w:rsidRDefault="00B250A6" w:rsidP="00D00E20">
      <w:pPr>
        <w:spacing w:after="120" w:line="360" w:lineRule="auto"/>
        <w:jc w:val="both"/>
        <w:rPr>
          <w:rFonts w:ascii="Arial" w:hAnsi="Arial" w:cs="Arial"/>
          <w:sz w:val="22"/>
          <w:szCs w:val="22"/>
        </w:rPr>
      </w:pPr>
    </w:p>
    <w:p w14:paraId="42F61057" w14:textId="77777777" w:rsidR="00B250A6" w:rsidRPr="00FC055E" w:rsidRDefault="00B250A6" w:rsidP="00D00E20">
      <w:pPr>
        <w:spacing w:after="120" w:line="360" w:lineRule="auto"/>
        <w:jc w:val="both"/>
        <w:rPr>
          <w:rFonts w:ascii="Arial" w:hAnsi="Arial" w:cs="Arial"/>
          <w:sz w:val="22"/>
          <w:szCs w:val="22"/>
        </w:rPr>
      </w:pPr>
    </w:p>
    <w:p w14:paraId="24B15D7A" w14:textId="77777777" w:rsidR="00576177" w:rsidRPr="00FC055E" w:rsidRDefault="00576177" w:rsidP="00576177">
      <w:pPr>
        <w:widowControl w:val="0"/>
        <w:suppressAutoHyphens/>
        <w:spacing w:after="160" w:line="360" w:lineRule="auto"/>
        <w:jc w:val="both"/>
        <w:rPr>
          <w:rFonts w:ascii="Arial" w:hAnsi="Arial" w:cs="Arial"/>
          <w:bCs/>
          <w:color w:val="000000"/>
          <w:sz w:val="22"/>
          <w:szCs w:val="22"/>
          <w:lang w:eastAsia="de-DE"/>
        </w:rPr>
      </w:pPr>
      <w:r w:rsidRPr="00FC055E">
        <w:rPr>
          <w:rFonts w:ascii="Arial" w:hAnsi="Arial" w:cs="Arial"/>
          <w:b/>
          <w:bCs/>
          <w:color w:val="000000"/>
          <w:sz w:val="22"/>
          <w:szCs w:val="22"/>
          <w:lang w:eastAsia="de-DE"/>
        </w:rPr>
        <w:t>Tabelle 1</w:t>
      </w:r>
      <w:r w:rsidRPr="00FC055E">
        <w:rPr>
          <w:rFonts w:ascii="Arial" w:hAnsi="Arial" w:cs="Arial"/>
          <w:bCs/>
          <w:color w:val="000000"/>
          <w:sz w:val="22"/>
          <w:szCs w:val="22"/>
          <w:lang w:eastAsia="de-DE"/>
        </w:rPr>
        <w:t>: Betreuungswahrscheinlichkeit eines ausländischen Doktoranden nach Herkunft (in %)</w:t>
      </w:r>
      <w:r w:rsidRPr="00FC055E">
        <w:rPr>
          <w:rStyle w:val="Funotenzeichen"/>
          <w:rFonts w:ascii="Arial" w:hAnsi="Arial" w:cs="Arial"/>
          <w:bCs/>
          <w:color w:val="000000"/>
          <w:sz w:val="22"/>
          <w:szCs w:val="22"/>
          <w:lang w:eastAsia="de-DE"/>
        </w:rPr>
        <w:footnoteReference w:id="9"/>
      </w:r>
    </w:p>
    <w:tbl>
      <w:tblPr>
        <w:tblW w:w="9324" w:type="dxa"/>
        <w:tblBorders>
          <w:top w:val="single" w:sz="8" w:space="0" w:color="000000"/>
          <w:bottom w:val="single" w:sz="8" w:space="0" w:color="000000"/>
        </w:tblBorders>
        <w:tblLayout w:type="fixed"/>
        <w:tblCellMar>
          <w:top w:w="28" w:type="dxa"/>
          <w:bottom w:w="28" w:type="dxa"/>
        </w:tblCellMar>
        <w:tblLook w:val="00A0" w:firstRow="1" w:lastRow="0" w:firstColumn="1" w:lastColumn="0" w:noHBand="0" w:noVBand="0"/>
      </w:tblPr>
      <w:tblGrid>
        <w:gridCol w:w="1952"/>
        <w:gridCol w:w="993"/>
        <w:gridCol w:w="993"/>
        <w:gridCol w:w="1134"/>
        <w:gridCol w:w="850"/>
        <w:gridCol w:w="567"/>
        <w:gridCol w:w="1134"/>
        <w:gridCol w:w="1701"/>
      </w:tblGrid>
      <w:tr w:rsidR="00576177" w:rsidRPr="00F3040E" w14:paraId="04F67C44" w14:textId="77777777" w:rsidTr="00FD2CF5">
        <w:trPr>
          <w:trHeight w:val="332"/>
        </w:trPr>
        <w:tc>
          <w:tcPr>
            <w:tcW w:w="1951" w:type="dxa"/>
            <w:tcBorders>
              <w:top w:val="single" w:sz="8" w:space="0" w:color="000000"/>
              <w:left w:val="nil"/>
              <w:bottom w:val="single" w:sz="8" w:space="0" w:color="000000"/>
              <w:right w:val="nil"/>
            </w:tcBorders>
          </w:tcPr>
          <w:p w14:paraId="435BCA0B" w14:textId="77777777" w:rsidR="00576177" w:rsidRPr="00FC055E" w:rsidRDefault="00576177" w:rsidP="00576177">
            <w:pPr>
              <w:jc w:val="both"/>
              <w:rPr>
                <w:rFonts w:ascii="Arial" w:hAnsi="Arial" w:cs="Arial"/>
                <w:b/>
                <w:bCs/>
                <w:color w:val="000000"/>
                <w:sz w:val="22"/>
                <w:szCs w:val="22"/>
              </w:rPr>
            </w:pPr>
          </w:p>
        </w:tc>
        <w:tc>
          <w:tcPr>
            <w:tcW w:w="992" w:type="dxa"/>
            <w:tcBorders>
              <w:top w:val="single" w:sz="8" w:space="0" w:color="000000"/>
              <w:left w:val="nil"/>
              <w:bottom w:val="single" w:sz="8" w:space="0" w:color="000000"/>
              <w:right w:val="nil"/>
            </w:tcBorders>
            <w:hideMark/>
          </w:tcPr>
          <w:p w14:paraId="3362CEBB" w14:textId="77777777" w:rsidR="00576177" w:rsidRPr="00FC055E" w:rsidRDefault="00576177" w:rsidP="00576177">
            <w:pPr>
              <w:jc w:val="both"/>
              <w:rPr>
                <w:rFonts w:ascii="Arial" w:hAnsi="Arial" w:cs="Arial"/>
                <w:b/>
                <w:bCs/>
                <w:color w:val="000000"/>
                <w:sz w:val="22"/>
                <w:szCs w:val="22"/>
              </w:rPr>
            </w:pPr>
            <w:r w:rsidRPr="00FC055E">
              <w:rPr>
                <w:rFonts w:ascii="Arial" w:hAnsi="Arial" w:cs="Arial"/>
                <w:b/>
                <w:bCs/>
                <w:color w:val="000000"/>
                <w:sz w:val="22"/>
                <w:szCs w:val="22"/>
              </w:rPr>
              <w:t>Yale</w:t>
            </w:r>
          </w:p>
        </w:tc>
        <w:tc>
          <w:tcPr>
            <w:tcW w:w="993" w:type="dxa"/>
            <w:tcBorders>
              <w:top w:val="single" w:sz="8" w:space="0" w:color="000000"/>
              <w:left w:val="nil"/>
              <w:bottom w:val="single" w:sz="8" w:space="0" w:color="000000"/>
              <w:right w:val="nil"/>
            </w:tcBorders>
            <w:hideMark/>
          </w:tcPr>
          <w:p w14:paraId="70A1A164" w14:textId="77777777" w:rsidR="00576177" w:rsidRPr="00FC055E" w:rsidRDefault="00576177" w:rsidP="00576177">
            <w:pPr>
              <w:jc w:val="both"/>
              <w:rPr>
                <w:rFonts w:ascii="Arial" w:hAnsi="Arial" w:cs="Arial"/>
                <w:b/>
                <w:bCs/>
                <w:color w:val="000000"/>
                <w:sz w:val="22"/>
                <w:szCs w:val="22"/>
              </w:rPr>
            </w:pPr>
            <w:r w:rsidRPr="00FC055E">
              <w:rPr>
                <w:rFonts w:ascii="Arial" w:hAnsi="Arial" w:cs="Arial"/>
                <w:b/>
                <w:bCs/>
                <w:color w:val="000000"/>
                <w:sz w:val="22"/>
                <w:szCs w:val="22"/>
              </w:rPr>
              <w:t>Penn State</w:t>
            </w:r>
          </w:p>
        </w:tc>
        <w:tc>
          <w:tcPr>
            <w:tcW w:w="1134" w:type="dxa"/>
            <w:tcBorders>
              <w:top w:val="single" w:sz="8" w:space="0" w:color="000000"/>
              <w:left w:val="nil"/>
              <w:bottom w:val="single" w:sz="8" w:space="0" w:color="000000"/>
              <w:right w:val="nil"/>
            </w:tcBorders>
            <w:hideMark/>
          </w:tcPr>
          <w:p w14:paraId="03B961C8" w14:textId="77777777" w:rsidR="00576177" w:rsidRPr="00FC055E" w:rsidRDefault="00576177" w:rsidP="00576177">
            <w:pPr>
              <w:jc w:val="both"/>
              <w:rPr>
                <w:rFonts w:ascii="Arial" w:hAnsi="Arial" w:cs="Arial"/>
                <w:b/>
                <w:bCs/>
                <w:color w:val="000000"/>
                <w:sz w:val="22"/>
                <w:szCs w:val="22"/>
              </w:rPr>
            </w:pPr>
            <w:r w:rsidRPr="00FC055E">
              <w:rPr>
                <w:rFonts w:ascii="Arial" w:hAnsi="Arial" w:cs="Arial"/>
                <w:b/>
                <w:bCs/>
                <w:color w:val="000000"/>
                <w:sz w:val="22"/>
                <w:szCs w:val="22"/>
              </w:rPr>
              <w:t>NU Sin-</w:t>
            </w:r>
            <w:proofErr w:type="spellStart"/>
            <w:r w:rsidRPr="00FC055E">
              <w:rPr>
                <w:rFonts w:ascii="Arial" w:hAnsi="Arial" w:cs="Arial"/>
                <w:b/>
                <w:bCs/>
                <w:color w:val="000000"/>
                <w:sz w:val="22"/>
                <w:szCs w:val="22"/>
              </w:rPr>
              <w:t>gapore</w:t>
            </w:r>
            <w:proofErr w:type="spellEnd"/>
          </w:p>
        </w:tc>
        <w:tc>
          <w:tcPr>
            <w:tcW w:w="850" w:type="dxa"/>
            <w:tcBorders>
              <w:top w:val="single" w:sz="8" w:space="0" w:color="000000"/>
              <w:left w:val="nil"/>
              <w:bottom w:val="single" w:sz="8" w:space="0" w:color="000000"/>
              <w:right w:val="nil"/>
            </w:tcBorders>
            <w:hideMark/>
          </w:tcPr>
          <w:p w14:paraId="79E8F139" w14:textId="77777777" w:rsidR="00576177" w:rsidRPr="00FC055E" w:rsidRDefault="00576177" w:rsidP="00576177">
            <w:pPr>
              <w:jc w:val="both"/>
              <w:rPr>
                <w:rFonts w:ascii="Arial" w:hAnsi="Arial" w:cs="Arial"/>
                <w:b/>
                <w:bCs/>
                <w:color w:val="000000"/>
                <w:sz w:val="22"/>
                <w:szCs w:val="22"/>
              </w:rPr>
            </w:pPr>
            <w:proofErr w:type="gramStart"/>
            <w:r w:rsidRPr="00FC055E">
              <w:rPr>
                <w:rFonts w:ascii="Arial" w:hAnsi="Arial" w:cs="Arial"/>
                <w:b/>
                <w:bCs/>
                <w:color w:val="000000"/>
                <w:sz w:val="22"/>
                <w:szCs w:val="22"/>
              </w:rPr>
              <w:t>VNU</w:t>
            </w:r>
            <w:r w:rsidR="00B6478E">
              <w:rPr>
                <w:rFonts w:ascii="Arial" w:hAnsi="Arial" w:cs="Arial"/>
                <w:b/>
                <w:bCs/>
                <w:color w:val="000000"/>
                <w:sz w:val="22"/>
                <w:szCs w:val="22"/>
              </w:rPr>
              <w:t xml:space="preserve"> </w:t>
            </w:r>
            <w:r w:rsidRPr="00FC055E">
              <w:rPr>
                <w:rFonts w:ascii="Arial" w:hAnsi="Arial" w:cs="Arial"/>
                <w:b/>
                <w:bCs/>
                <w:color w:val="000000"/>
                <w:sz w:val="22"/>
                <w:szCs w:val="22"/>
              </w:rPr>
              <w:t xml:space="preserve"> Hanoi</w:t>
            </w:r>
            <w:proofErr w:type="gramEnd"/>
          </w:p>
        </w:tc>
        <w:tc>
          <w:tcPr>
            <w:tcW w:w="567" w:type="dxa"/>
            <w:tcBorders>
              <w:top w:val="single" w:sz="8" w:space="0" w:color="000000"/>
              <w:left w:val="nil"/>
              <w:bottom w:val="single" w:sz="8" w:space="0" w:color="000000"/>
              <w:right w:val="nil"/>
            </w:tcBorders>
          </w:tcPr>
          <w:p w14:paraId="787B010E" w14:textId="77777777" w:rsidR="00576177" w:rsidRPr="00FC055E" w:rsidRDefault="00576177" w:rsidP="00576177">
            <w:pPr>
              <w:jc w:val="both"/>
              <w:rPr>
                <w:rFonts w:ascii="Arial" w:hAnsi="Arial" w:cs="Arial"/>
                <w:b/>
                <w:bCs/>
                <w:color w:val="000000"/>
                <w:sz w:val="22"/>
                <w:szCs w:val="22"/>
              </w:rPr>
            </w:pPr>
          </w:p>
        </w:tc>
        <w:tc>
          <w:tcPr>
            <w:tcW w:w="1134" w:type="dxa"/>
            <w:tcBorders>
              <w:top w:val="single" w:sz="8" w:space="0" w:color="000000"/>
              <w:left w:val="nil"/>
              <w:bottom w:val="single" w:sz="8" w:space="0" w:color="000000"/>
              <w:right w:val="nil"/>
            </w:tcBorders>
            <w:hideMark/>
          </w:tcPr>
          <w:p w14:paraId="21E45EEA" w14:textId="77777777" w:rsidR="00576177" w:rsidRPr="00FC055E" w:rsidRDefault="00576177" w:rsidP="00576177">
            <w:pPr>
              <w:jc w:val="both"/>
              <w:rPr>
                <w:rFonts w:ascii="Arial" w:hAnsi="Arial" w:cs="Arial"/>
                <w:b/>
                <w:bCs/>
                <w:color w:val="000000"/>
                <w:sz w:val="22"/>
                <w:szCs w:val="22"/>
              </w:rPr>
            </w:pPr>
            <w:r w:rsidRPr="00FC055E">
              <w:rPr>
                <w:rFonts w:ascii="Arial" w:hAnsi="Arial" w:cs="Arial"/>
                <w:b/>
                <w:bCs/>
                <w:color w:val="000000"/>
                <w:sz w:val="22"/>
                <w:szCs w:val="22"/>
              </w:rPr>
              <w:t>USA</w:t>
            </w:r>
          </w:p>
          <w:p w14:paraId="5119EEFB" w14:textId="77777777" w:rsidR="00576177" w:rsidRPr="00FC055E" w:rsidRDefault="00576177" w:rsidP="00576177">
            <w:pPr>
              <w:jc w:val="both"/>
              <w:rPr>
                <w:rFonts w:ascii="Arial" w:hAnsi="Arial" w:cs="Arial"/>
                <w:b/>
                <w:bCs/>
                <w:color w:val="000000"/>
                <w:sz w:val="22"/>
                <w:szCs w:val="22"/>
              </w:rPr>
            </w:pPr>
            <w:r w:rsidRPr="00FC055E">
              <w:rPr>
                <w:rFonts w:ascii="Arial" w:hAnsi="Arial" w:cs="Arial"/>
                <w:b/>
                <w:bCs/>
                <w:color w:val="000000"/>
                <w:sz w:val="22"/>
                <w:szCs w:val="22"/>
              </w:rPr>
              <w:t>gesamt</w:t>
            </w:r>
          </w:p>
        </w:tc>
        <w:tc>
          <w:tcPr>
            <w:tcW w:w="1701" w:type="dxa"/>
            <w:tcBorders>
              <w:top w:val="single" w:sz="8" w:space="0" w:color="000000"/>
              <w:left w:val="nil"/>
              <w:bottom w:val="single" w:sz="8" w:space="0" w:color="000000"/>
              <w:right w:val="nil"/>
            </w:tcBorders>
            <w:hideMark/>
          </w:tcPr>
          <w:p w14:paraId="6AF1E0F5" w14:textId="77777777" w:rsidR="00576177" w:rsidRPr="00FC055E" w:rsidRDefault="00576177" w:rsidP="00576177">
            <w:pPr>
              <w:jc w:val="both"/>
              <w:rPr>
                <w:rFonts w:ascii="Arial" w:hAnsi="Arial" w:cs="Arial"/>
                <w:b/>
                <w:bCs/>
                <w:color w:val="000000"/>
                <w:sz w:val="22"/>
                <w:szCs w:val="22"/>
              </w:rPr>
            </w:pPr>
            <w:r w:rsidRPr="00FC055E">
              <w:rPr>
                <w:rFonts w:ascii="Arial" w:hAnsi="Arial" w:cs="Arial"/>
                <w:b/>
                <w:bCs/>
                <w:color w:val="000000"/>
                <w:sz w:val="22"/>
                <w:szCs w:val="22"/>
              </w:rPr>
              <w:t>ASIEN</w:t>
            </w:r>
          </w:p>
          <w:p w14:paraId="5C5005AC" w14:textId="77777777" w:rsidR="00576177" w:rsidRPr="00FC055E" w:rsidRDefault="00576177" w:rsidP="00576177">
            <w:pPr>
              <w:jc w:val="both"/>
              <w:rPr>
                <w:rFonts w:ascii="Arial" w:hAnsi="Arial" w:cs="Arial"/>
                <w:b/>
                <w:bCs/>
                <w:color w:val="000000"/>
                <w:sz w:val="22"/>
                <w:szCs w:val="22"/>
              </w:rPr>
            </w:pPr>
            <w:r w:rsidRPr="00FC055E">
              <w:rPr>
                <w:rFonts w:ascii="Arial" w:hAnsi="Arial" w:cs="Arial"/>
                <w:b/>
                <w:bCs/>
                <w:color w:val="000000"/>
                <w:sz w:val="22"/>
                <w:szCs w:val="22"/>
              </w:rPr>
              <w:t>gesamt</w:t>
            </w:r>
          </w:p>
        </w:tc>
      </w:tr>
      <w:tr w:rsidR="00576177" w:rsidRPr="00F3040E" w14:paraId="33FD4FC5" w14:textId="77777777" w:rsidTr="00FD2CF5">
        <w:trPr>
          <w:trHeight w:val="332"/>
        </w:trPr>
        <w:tc>
          <w:tcPr>
            <w:tcW w:w="1951" w:type="dxa"/>
            <w:tcBorders>
              <w:top w:val="single" w:sz="8" w:space="0" w:color="000000"/>
              <w:left w:val="nil"/>
              <w:bottom w:val="nil"/>
              <w:right w:val="nil"/>
            </w:tcBorders>
            <w:shd w:val="clear" w:color="auto" w:fill="FFFFFF"/>
            <w:hideMark/>
          </w:tcPr>
          <w:p w14:paraId="7F09FBF0" w14:textId="77777777" w:rsidR="00576177" w:rsidRPr="00FC055E" w:rsidRDefault="00576177" w:rsidP="00576177">
            <w:pPr>
              <w:jc w:val="both"/>
              <w:rPr>
                <w:rFonts w:ascii="Arial" w:hAnsi="Arial" w:cs="Arial"/>
                <w:b/>
                <w:bCs/>
                <w:color w:val="000000"/>
                <w:sz w:val="22"/>
                <w:szCs w:val="22"/>
              </w:rPr>
            </w:pPr>
            <w:r w:rsidRPr="00FC055E">
              <w:rPr>
                <w:rFonts w:ascii="Arial" w:hAnsi="Arial" w:cs="Arial"/>
                <w:b/>
                <w:bCs/>
                <w:color w:val="000000"/>
                <w:sz w:val="22"/>
                <w:szCs w:val="22"/>
              </w:rPr>
              <w:t xml:space="preserve">Zustimmung </w:t>
            </w:r>
          </w:p>
        </w:tc>
        <w:tc>
          <w:tcPr>
            <w:tcW w:w="992" w:type="dxa"/>
            <w:tcBorders>
              <w:top w:val="single" w:sz="8" w:space="0" w:color="000000"/>
              <w:left w:val="nil"/>
              <w:bottom w:val="nil"/>
              <w:right w:val="nil"/>
            </w:tcBorders>
            <w:shd w:val="clear" w:color="auto" w:fill="FFFFFF"/>
            <w:hideMark/>
          </w:tcPr>
          <w:p w14:paraId="3D133214"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51,0</w:t>
            </w:r>
          </w:p>
        </w:tc>
        <w:tc>
          <w:tcPr>
            <w:tcW w:w="993" w:type="dxa"/>
            <w:tcBorders>
              <w:top w:val="single" w:sz="8" w:space="0" w:color="000000"/>
              <w:left w:val="nil"/>
              <w:bottom w:val="nil"/>
              <w:right w:val="nil"/>
            </w:tcBorders>
            <w:shd w:val="clear" w:color="auto" w:fill="FFFFFF"/>
            <w:hideMark/>
          </w:tcPr>
          <w:p w14:paraId="247507E7"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43,4</w:t>
            </w:r>
          </w:p>
        </w:tc>
        <w:tc>
          <w:tcPr>
            <w:tcW w:w="1134" w:type="dxa"/>
            <w:tcBorders>
              <w:top w:val="single" w:sz="8" w:space="0" w:color="000000"/>
              <w:left w:val="nil"/>
              <w:bottom w:val="nil"/>
              <w:right w:val="nil"/>
            </w:tcBorders>
            <w:shd w:val="clear" w:color="auto" w:fill="FFFFFF"/>
            <w:hideMark/>
          </w:tcPr>
          <w:p w14:paraId="38BCEC34"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30,0</w:t>
            </w:r>
          </w:p>
        </w:tc>
        <w:tc>
          <w:tcPr>
            <w:tcW w:w="850" w:type="dxa"/>
            <w:tcBorders>
              <w:top w:val="single" w:sz="8" w:space="0" w:color="000000"/>
              <w:left w:val="nil"/>
              <w:bottom w:val="nil"/>
              <w:right w:val="nil"/>
            </w:tcBorders>
            <w:shd w:val="clear" w:color="auto" w:fill="FFFFFF"/>
            <w:hideMark/>
          </w:tcPr>
          <w:p w14:paraId="42BE6513"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29,0</w:t>
            </w:r>
          </w:p>
        </w:tc>
        <w:tc>
          <w:tcPr>
            <w:tcW w:w="567" w:type="dxa"/>
            <w:tcBorders>
              <w:top w:val="single" w:sz="8" w:space="0" w:color="000000"/>
              <w:left w:val="nil"/>
              <w:bottom w:val="nil"/>
              <w:right w:val="nil"/>
            </w:tcBorders>
            <w:shd w:val="clear" w:color="auto" w:fill="FFFFFF"/>
          </w:tcPr>
          <w:p w14:paraId="1D38701B" w14:textId="77777777" w:rsidR="00576177" w:rsidRPr="00FC055E" w:rsidRDefault="00576177" w:rsidP="00576177">
            <w:pPr>
              <w:jc w:val="both"/>
              <w:rPr>
                <w:rFonts w:ascii="Arial" w:hAnsi="Arial" w:cs="Arial"/>
                <w:color w:val="000000"/>
                <w:sz w:val="22"/>
                <w:szCs w:val="22"/>
              </w:rPr>
            </w:pPr>
          </w:p>
        </w:tc>
        <w:tc>
          <w:tcPr>
            <w:tcW w:w="1134" w:type="dxa"/>
            <w:tcBorders>
              <w:top w:val="single" w:sz="8" w:space="0" w:color="000000"/>
              <w:left w:val="nil"/>
              <w:bottom w:val="nil"/>
              <w:right w:val="nil"/>
            </w:tcBorders>
            <w:shd w:val="clear" w:color="auto" w:fill="FFFFFF"/>
            <w:hideMark/>
          </w:tcPr>
          <w:p w14:paraId="19318C5C"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47,2</w:t>
            </w:r>
          </w:p>
        </w:tc>
        <w:tc>
          <w:tcPr>
            <w:tcW w:w="1701" w:type="dxa"/>
            <w:tcBorders>
              <w:top w:val="single" w:sz="8" w:space="0" w:color="000000"/>
              <w:left w:val="nil"/>
              <w:bottom w:val="nil"/>
              <w:right w:val="nil"/>
            </w:tcBorders>
            <w:shd w:val="clear" w:color="auto" w:fill="FFFFFF"/>
            <w:hideMark/>
          </w:tcPr>
          <w:p w14:paraId="1CE26304"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29,5</w:t>
            </w:r>
          </w:p>
        </w:tc>
      </w:tr>
      <w:tr w:rsidR="00576177" w:rsidRPr="00F3040E" w14:paraId="6E85C2BE" w14:textId="77777777" w:rsidTr="00FD2CF5">
        <w:trPr>
          <w:trHeight w:val="332"/>
        </w:trPr>
        <w:tc>
          <w:tcPr>
            <w:tcW w:w="1951" w:type="dxa"/>
            <w:tcBorders>
              <w:top w:val="nil"/>
              <w:left w:val="nil"/>
              <w:bottom w:val="single" w:sz="4" w:space="0" w:color="auto"/>
              <w:right w:val="nil"/>
            </w:tcBorders>
            <w:shd w:val="clear" w:color="auto" w:fill="FFFFFF"/>
            <w:hideMark/>
          </w:tcPr>
          <w:p w14:paraId="17E9FEB4" w14:textId="77777777" w:rsidR="00576177" w:rsidRPr="00FC055E" w:rsidRDefault="00576177" w:rsidP="00576177">
            <w:pPr>
              <w:jc w:val="both"/>
              <w:rPr>
                <w:rFonts w:ascii="Arial" w:hAnsi="Arial" w:cs="Arial"/>
                <w:b/>
                <w:bCs/>
                <w:color w:val="000000"/>
                <w:sz w:val="22"/>
                <w:szCs w:val="22"/>
              </w:rPr>
            </w:pPr>
            <w:r w:rsidRPr="00FC055E">
              <w:rPr>
                <w:rFonts w:ascii="Arial" w:hAnsi="Arial" w:cs="Arial"/>
                <w:b/>
                <w:bCs/>
                <w:color w:val="000000"/>
                <w:sz w:val="22"/>
                <w:szCs w:val="22"/>
              </w:rPr>
              <w:t xml:space="preserve">Ablehnung </w:t>
            </w:r>
          </w:p>
        </w:tc>
        <w:tc>
          <w:tcPr>
            <w:tcW w:w="992" w:type="dxa"/>
            <w:tcBorders>
              <w:top w:val="nil"/>
              <w:left w:val="nil"/>
              <w:bottom w:val="single" w:sz="4" w:space="0" w:color="auto"/>
              <w:right w:val="nil"/>
            </w:tcBorders>
            <w:shd w:val="clear" w:color="auto" w:fill="FFFFFF"/>
            <w:hideMark/>
          </w:tcPr>
          <w:p w14:paraId="06DCF378"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 xml:space="preserve">49,0 </w:t>
            </w:r>
          </w:p>
        </w:tc>
        <w:tc>
          <w:tcPr>
            <w:tcW w:w="993" w:type="dxa"/>
            <w:tcBorders>
              <w:top w:val="nil"/>
              <w:left w:val="nil"/>
              <w:bottom w:val="single" w:sz="4" w:space="0" w:color="auto"/>
              <w:right w:val="nil"/>
            </w:tcBorders>
            <w:shd w:val="clear" w:color="auto" w:fill="FFFFFF"/>
            <w:hideMark/>
          </w:tcPr>
          <w:p w14:paraId="6574FF49"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 xml:space="preserve">56,6 </w:t>
            </w:r>
          </w:p>
        </w:tc>
        <w:tc>
          <w:tcPr>
            <w:tcW w:w="1134" w:type="dxa"/>
            <w:tcBorders>
              <w:top w:val="nil"/>
              <w:left w:val="nil"/>
              <w:bottom w:val="single" w:sz="4" w:space="0" w:color="auto"/>
              <w:right w:val="nil"/>
            </w:tcBorders>
            <w:shd w:val="clear" w:color="auto" w:fill="FFFFFF"/>
            <w:hideMark/>
          </w:tcPr>
          <w:p w14:paraId="5472724E"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 xml:space="preserve">70,0 </w:t>
            </w:r>
          </w:p>
        </w:tc>
        <w:tc>
          <w:tcPr>
            <w:tcW w:w="850" w:type="dxa"/>
            <w:tcBorders>
              <w:top w:val="nil"/>
              <w:left w:val="nil"/>
              <w:bottom w:val="single" w:sz="4" w:space="0" w:color="auto"/>
              <w:right w:val="nil"/>
            </w:tcBorders>
            <w:shd w:val="clear" w:color="auto" w:fill="FFFFFF"/>
            <w:hideMark/>
          </w:tcPr>
          <w:p w14:paraId="4597EB8F"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71,0</w:t>
            </w:r>
          </w:p>
        </w:tc>
        <w:tc>
          <w:tcPr>
            <w:tcW w:w="567" w:type="dxa"/>
            <w:tcBorders>
              <w:top w:val="nil"/>
              <w:left w:val="nil"/>
              <w:bottom w:val="single" w:sz="4" w:space="0" w:color="auto"/>
              <w:right w:val="nil"/>
            </w:tcBorders>
            <w:shd w:val="clear" w:color="auto" w:fill="FFFFFF"/>
          </w:tcPr>
          <w:p w14:paraId="7034A2E4" w14:textId="77777777" w:rsidR="00576177" w:rsidRPr="00FC055E" w:rsidRDefault="00576177" w:rsidP="00576177">
            <w:pPr>
              <w:jc w:val="both"/>
              <w:rPr>
                <w:rFonts w:ascii="Arial" w:hAnsi="Arial" w:cs="Arial"/>
                <w:color w:val="000000"/>
                <w:sz w:val="22"/>
                <w:szCs w:val="22"/>
              </w:rPr>
            </w:pPr>
          </w:p>
        </w:tc>
        <w:tc>
          <w:tcPr>
            <w:tcW w:w="1134" w:type="dxa"/>
            <w:tcBorders>
              <w:top w:val="nil"/>
              <w:left w:val="nil"/>
              <w:bottom w:val="single" w:sz="4" w:space="0" w:color="auto"/>
              <w:right w:val="nil"/>
            </w:tcBorders>
            <w:shd w:val="clear" w:color="auto" w:fill="FFFFFF"/>
            <w:hideMark/>
          </w:tcPr>
          <w:p w14:paraId="2E59EBC8"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 xml:space="preserve">52,8 </w:t>
            </w:r>
          </w:p>
        </w:tc>
        <w:tc>
          <w:tcPr>
            <w:tcW w:w="1701" w:type="dxa"/>
            <w:tcBorders>
              <w:top w:val="nil"/>
              <w:left w:val="nil"/>
              <w:bottom w:val="single" w:sz="4" w:space="0" w:color="auto"/>
              <w:right w:val="nil"/>
            </w:tcBorders>
            <w:shd w:val="clear" w:color="auto" w:fill="FFFFFF"/>
            <w:hideMark/>
          </w:tcPr>
          <w:p w14:paraId="4AB7214F"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70,5</w:t>
            </w:r>
          </w:p>
        </w:tc>
      </w:tr>
      <w:tr w:rsidR="00576177" w:rsidRPr="00F3040E" w14:paraId="49E6B886" w14:textId="77777777" w:rsidTr="00FD2CF5">
        <w:trPr>
          <w:trHeight w:val="332"/>
        </w:trPr>
        <w:tc>
          <w:tcPr>
            <w:tcW w:w="1951" w:type="dxa"/>
            <w:tcBorders>
              <w:top w:val="single" w:sz="4" w:space="0" w:color="auto"/>
              <w:left w:val="nil"/>
              <w:bottom w:val="single" w:sz="4" w:space="0" w:color="auto"/>
              <w:right w:val="nil"/>
            </w:tcBorders>
            <w:hideMark/>
          </w:tcPr>
          <w:p w14:paraId="1C8CD435" w14:textId="77777777" w:rsidR="00576177" w:rsidRPr="00FC055E" w:rsidRDefault="00576177" w:rsidP="00576177">
            <w:pPr>
              <w:jc w:val="both"/>
              <w:rPr>
                <w:rFonts w:ascii="Arial" w:hAnsi="Arial" w:cs="Arial"/>
                <w:b/>
                <w:bCs/>
                <w:color w:val="000000"/>
                <w:sz w:val="22"/>
                <w:szCs w:val="22"/>
              </w:rPr>
            </w:pPr>
            <w:r w:rsidRPr="00FC055E">
              <w:rPr>
                <w:rFonts w:ascii="Arial" w:hAnsi="Arial" w:cs="Arial"/>
                <w:b/>
                <w:bCs/>
                <w:color w:val="000000"/>
                <w:sz w:val="22"/>
                <w:szCs w:val="22"/>
              </w:rPr>
              <w:t>N</w:t>
            </w:r>
          </w:p>
        </w:tc>
        <w:tc>
          <w:tcPr>
            <w:tcW w:w="992" w:type="dxa"/>
            <w:tcBorders>
              <w:top w:val="single" w:sz="4" w:space="0" w:color="auto"/>
              <w:left w:val="nil"/>
              <w:bottom w:val="single" w:sz="4" w:space="0" w:color="auto"/>
              <w:right w:val="nil"/>
            </w:tcBorders>
            <w:hideMark/>
          </w:tcPr>
          <w:p w14:paraId="61B5BF5B"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100</w:t>
            </w:r>
          </w:p>
        </w:tc>
        <w:tc>
          <w:tcPr>
            <w:tcW w:w="993" w:type="dxa"/>
            <w:tcBorders>
              <w:top w:val="single" w:sz="4" w:space="0" w:color="auto"/>
              <w:left w:val="nil"/>
              <w:bottom w:val="single" w:sz="4" w:space="0" w:color="auto"/>
              <w:right w:val="nil"/>
            </w:tcBorders>
            <w:hideMark/>
          </w:tcPr>
          <w:p w14:paraId="147AF88D"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99</w:t>
            </w:r>
          </w:p>
        </w:tc>
        <w:tc>
          <w:tcPr>
            <w:tcW w:w="1134" w:type="dxa"/>
            <w:tcBorders>
              <w:top w:val="single" w:sz="4" w:space="0" w:color="auto"/>
              <w:left w:val="nil"/>
              <w:bottom w:val="single" w:sz="4" w:space="0" w:color="auto"/>
              <w:right w:val="nil"/>
            </w:tcBorders>
            <w:hideMark/>
          </w:tcPr>
          <w:p w14:paraId="4C9E01AE"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100</w:t>
            </w:r>
          </w:p>
        </w:tc>
        <w:tc>
          <w:tcPr>
            <w:tcW w:w="850" w:type="dxa"/>
            <w:tcBorders>
              <w:top w:val="single" w:sz="4" w:space="0" w:color="auto"/>
              <w:left w:val="nil"/>
              <w:bottom w:val="single" w:sz="4" w:space="0" w:color="auto"/>
              <w:right w:val="nil"/>
            </w:tcBorders>
            <w:hideMark/>
          </w:tcPr>
          <w:p w14:paraId="64B33C7C"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100</w:t>
            </w:r>
          </w:p>
        </w:tc>
        <w:tc>
          <w:tcPr>
            <w:tcW w:w="567" w:type="dxa"/>
            <w:tcBorders>
              <w:top w:val="single" w:sz="4" w:space="0" w:color="auto"/>
              <w:left w:val="nil"/>
              <w:bottom w:val="single" w:sz="4" w:space="0" w:color="auto"/>
              <w:right w:val="nil"/>
            </w:tcBorders>
          </w:tcPr>
          <w:p w14:paraId="4B245DCD" w14:textId="77777777" w:rsidR="00576177" w:rsidRPr="00FC055E" w:rsidRDefault="00576177" w:rsidP="00576177">
            <w:pPr>
              <w:jc w:val="both"/>
              <w:rPr>
                <w:rFonts w:ascii="Arial" w:hAnsi="Arial" w:cs="Arial"/>
                <w:color w:val="000000"/>
                <w:sz w:val="22"/>
                <w:szCs w:val="22"/>
              </w:rPr>
            </w:pPr>
          </w:p>
        </w:tc>
        <w:tc>
          <w:tcPr>
            <w:tcW w:w="1134" w:type="dxa"/>
            <w:tcBorders>
              <w:top w:val="single" w:sz="4" w:space="0" w:color="auto"/>
              <w:left w:val="nil"/>
              <w:bottom w:val="single" w:sz="4" w:space="0" w:color="auto"/>
              <w:right w:val="nil"/>
            </w:tcBorders>
            <w:hideMark/>
          </w:tcPr>
          <w:p w14:paraId="4D2F6BDF"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199</w:t>
            </w:r>
          </w:p>
        </w:tc>
        <w:tc>
          <w:tcPr>
            <w:tcW w:w="1701" w:type="dxa"/>
            <w:tcBorders>
              <w:top w:val="single" w:sz="4" w:space="0" w:color="auto"/>
              <w:left w:val="nil"/>
              <w:bottom w:val="single" w:sz="4" w:space="0" w:color="auto"/>
              <w:right w:val="nil"/>
            </w:tcBorders>
            <w:hideMark/>
          </w:tcPr>
          <w:p w14:paraId="2F4A2128" w14:textId="77777777" w:rsidR="00576177" w:rsidRPr="00FC055E" w:rsidRDefault="00576177" w:rsidP="00576177">
            <w:pPr>
              <w:jc w:val="both"/>
              <w:rPr>
                <w:rFonts w:ascii="Arial" w:hAnsi="Arial" w:cs="Arial"/>
                <w:color w:val="000000"/>
                <w:sz w:val="22"/>
                <w:szCs w:val="22"/>
              </w:rPr>
            </w:pPr>
            <w:r w:rsidRPr="00FC055E">
              <w:rPr>
                <w:rFonts w:ascii="Arial" w:hAnsi="Arial" w:cs="Arial"/>
                <w:color w:val="000000"/>
                <w:sz w:val="22"/>
                <w:szCs w:val="22"/>
              </w:rPr>
              <w:t>200</w:t>
            </w:r>
          </w:p>
        </w:tc>
      </w:tr>
    </w:tbl>
    <w:p w14:paraId="3341C0FA" w14:textId="77777777" w:rsidR="00576177" w:rsidRPr="009825C3" w:rsidRDefault="00576177" w:rsidP="00106AE6">
      <w:pPr>
        <w:widowControl w:val="0"/>
        <w:suppressAutoHyphens/>
        <w:spacing w:after="160" w:line="360" w:lineRule="auto"/>
        <w:jc w:val="both"/>
        <w:rPr>
          <w:rFonts w:ascii="Arial" w:hAnsi="Arial" w:cs="Arial"/>
          <w:bCs/>
          <w:color w:val="000000"/>
          <w:sz w:val="22"/>
          <w:szCs w:val="22"/>
          <w:lang w:eastAsia="de-DE"/>
        </w:rPr>
      </w:pPr>
    </w:p>
    <w:p w14:paraId="7C94F78E" w14:textId="46B3D17A"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Das Ergebnis ist eindeutig. Die fiktiven Bewerber </w:t>
      </w:r>
      <w:r w:rsidR="00464ED1" w:rsidRPr="00FC055E">
        <w:rPr>
          <w:rFonts w:ascii="Arial" w:hAnsi="Arial" w:cs="Arial"/>
          <w:sz w:val="22"/>
          <w:szCs w:val="22"/>
        </w:rPr>
        <w:t>der</w:t>
      </w:r>
      <w:r w:rsidRPr="00FC055E">
        <w:rPr>
          <w:rFonts w:ascii="Arial" w:hAnsi="Arial" w:cs="Arial"/>
          <w:sz w:val="22"/>
          <w:szCs w:val="22"/>
        </w:rPr>
        <w:t xml:space="preserve"> beiden amerikanischen Universitäten bekommen deutlich mehr positive Antworten (Zusagen und Nachfragen nach weiteren Unterlagen) als die Doktoranden </w:t>
      </w:r>
      <w:r w:rsidR="00464ED1" w:rsidRPr="00FC055E">
        <w:rPr>
          <w:rFonts w:ascii="Arial" w:hAnsi="Arial" w:cs="Arial"/>
          <w:sz w:val="22"/>
          <w:szCs w:val="22"/>
        </w:rPr>
        <w:t>der</w:t>
      </w:r>
      <w:r w:rsidRPr="00FC055E">
        <w:rPr>
          <w:rFonts w:ascii="Arial" w:hAnsi="Arial" w:cs="Arial"/>
          <w:sz w:val="22"/>
          <w:szCs w:val="22"/>
        </w:rPr>
        <w:t xml:space="preserve"> beiden asiatischen Universitäten. Während der Unterschied zwischen Singapur und Hanoi marginal und nicht signifikant ist – beide werden offensichtlich in </w:t>
      </w:r>
      <w:r w:rsidR="009825C3">
        <w:rPr>
          <w:rFonts w:ascii="Arial" w:hAnsi="Arial" w:cs="Arial"/>
          <w:sz w:val="22"/>
          <w:szCs w:val="22"/>
        </w:rPr>
        <w:t>„einen</w:t>
      </w:r>
      <w:r w:rsidRPr="00FC055E">
        <w:rPr>
          <w:rFonts w:ascii="Arial" w:hAnsi="Arial" w:cs="Arial"/>
          <w:sz w:val="22"/>
          <w:szCs w:val="22"/>
        </w:rPr>
        <w:t xml:space="preserve"> Topf“ geworfen – ist der Unterschied zwischen Yale und Penn State etwas ausgeprägter. Es scheint also, als ob das symbolische Kapital der Ivy-League-Universität Yale im deutschen akademischen Feld am höchsten ist, gefolgt von der staatlichen Penn State, der NU Singapore und schließlich der VNU Hanoi.</w:t>
      </w:r>
    </w:p>
    <w:p w14:paraId="79EA0063" w14:textId="2AD263C4"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Welche Schlussfolgerungen lassen sich aus diesen Ergebnissen in Bezug auf die relative Relevanz der drei Treatment-Variablen Herkunftsland, Herkunftsuniversität und Herkunftsinstitut </w:t>
      </w:r>
      <w:r w:rsidR="000109DB">
        <w:rPr>
          <w:rFonts w:ascii="Arial" w:hAnsi="Arial" w:cs="Arial"/>
          <w:sz w:val="22"/>
          <w:szCs w:val="22"/>
        </w:rPr>
        <w:t>für</w:t>
      </w:r>
      <w:r w:rsidRPr="00FC055E">
        <w:rPr>
          <w:rFonts w:ascii="Arial" w:hAnsi="Arial" w:cs="Arial"/>
          <w:sz w:val="22"/>
          <w:szCs w:val="22"/>
        </w:rPr>
        <w:t xml:space="preserve"> die Betreuungsaussichten ausländische</w:t>
      </w:r>
      <w:r w:rsidR="00464ED1" w:rsidRPr="00FC055E">
        <w:rPr>
          <w:rFonts w:ascii="Arial" w:hAnsi="Arial" w:cs="Arial"/>
          <w:sz w:val="22"/>
          <w:szCs w:val="22"/>
        </w:rPr>
        <w:t>r</w:t>
      </w:r>
      <w:r w:rsidRPr="00FC055E">
        <w:rPr>
          <w:rFonts w:ascii="Arial" w:hAnsi="Arial" w:cs="Arial"/>
          <w:sz w:val="22"/>
          <w:szCs w:val="22"/>
        </w:rPr>
        <w:t xml:space="preserve"> Doktoranden in Deutschland ziehen? Erstens </w:t>
      </w:r>
      <w:r w:rsidR="00464ED1" w:rsidRPr="00FC055E">
        <w:rPr>
          <w:rFonts w:ascii="Arial" w:hAnsi="Arial" w:cs="Arial"/>
          <w:sz w:val="22"/>
          <w:szCs w:val="22"/>
        </w:rPr>
        <w:t xml:space="preserve">ist </w:t>
      </w:r>
      <w:r w:rsidRPr="00FC055E">
        <w:rPr>
          <w:rFonts w:ascii="Arial" w:hAnsi="Arial" w:cs="Arial"/>
          <w:sz w:val="22"/>
          <w:szCs w:val="22"/>
        </w:rPr>
        <w:t>das Herkunftsland des Bewerbers offenbar relevanter als seine Herkunftsuniversität</w:t>
      </w:r>
      <w:r w:rsidR="00E126C6">
        <w:rPr>
          <w:rFonts w:ascii="Arial" w:hAnsi="Arial" w:cs="Arial"/>
          <w:sz w:val="22"/>
          <w:szCs w:val="22"/>
        </w:rPr>
        <w:t>, zumindest für die von uns untersuchten Fälle</w:t>
      </w:r>
      <w:r w:rsidRPr="00FC055E">
        <w:rPr>
          <w:rFonts w:ascii="Arial" w:hAnsi="Arial" w:cs="Arial"/>
          <w:sz w:val="22"/>
          <w:szCs w:val="22"/>
        </w:rPr>
        <w:t>. US-amerikanische Bewerber erhalten häufiger eine positive Antwort auf ihre Betreuungsanfrage als Bewerber aus Singapur und Vietnam</w:t>
      </w:r>
      <w:r w:rsidR="00BE4DA2">
        <w:rPr>
          <w:rFonts w:ascii="Arial" w:hAnsi="Arial" w:cs="Arial"/>
          <w:sz w:val="22"/>
          <w:szCs w:val="22"/>
        </w:rPr>
        <w:t>, obwohl</w:t>
      </w:r>
      <w:r w:rsidRPr="00FC055E">
        <w:rPr>
          <w:rFonts w:ascii="Arial" w:hAnsi="Arial" w:cs="Arial"/>
          <w:sz w:val="22"/>
          <w:szCs w:val="22"/>
        </w:rPr>
        <w:t xml:space="preserve"> die </w:t>
      </w:r>
      <w:r w:rsidR="00BE4DA2">
        <w:rPr>
          <w:rFonts w:ascii="Arial" w:hAnsi="Arial" w:cs="Arial"/>
          <w:sz w:val="22"/>
          <w:szCs w:val="22"/>
        </w:rPr>
        <w:t>NU</w:t>
      </w:r>
      <w:r w:rsidRPr="00FC055E">
        <w:rPr>
          <w:rFonts w:ascii="Arial" w:hAnsi="Arial" w:cs="Arial"/>
          <w:sz w:val="22"/>
          <w:szCs w:val="22"/>
        </w:rPr>
        <w:t xml:space="preserve"> Singapore in den Hochschulrankings einen deutlich höheren Platz einnimmt als die </w:t>
      </w:r>
      <w:r w:rsidRPr="00FC055E">
        <w:rPr>
          <w:rFonts w:ascii="Arial" w:hAnsi="Arial" w:cs="Arial"/>
          <w:sz w:val="22"/>
          <w:szCs w:val="22"/>
        </w:rPr>
        <w:lastRenderedPageBreak/>
        <w:t xml:space="preserve">amerikanische </w:t>
      </w:r>
      <w:r w:rsidR="00BE4DA2">
        <w:rPr>
          <w:rFonts w:ascii="Arial" w:hAnsi="Arial" w:cs="Arial"/>
          <w:sz w:val="22"/>
          <w:szCs w:val="22"/>
        </w:rPr>
        <w:t>Penn State</w:t>
      </w:r>
      <w:r w:rsidRPr="00FC055E">
        <w:rPr>
          <w:rFonts w:ascii="Arial" w:hAnsi="Arial" w:cs="Arial"/>
          <w:sz w:val="22"/>
          <w:szCs w:val="22"/>
        </w:rPr>
        <w:t xml:space="preserve">. </w:t>
      </w:r>
      <w:r w:rsidR="00464ED1" w:rsidRPr="00FC055E">
        <w:rPr>
          <w:rFonts w:ascii="Arial" w:hAnsi="Arial" w:cs="Arial"/>
          <w:sz w:val="22"/>
          <w:szCs w:val="22"/>
        </w:rPr>
        <w:t>Die</w:t>
      </w:r>
      <w:r w:rsidRPr="00FC055E">
        <w:rPr>
          <w:rFonts w:ascii="Arial" w:hAnsi="Arial" w:cs="Arial"/>
          <w:sz w:val="22"/>
          <w:szCs w:val="22"/>
        </w:rPr>
        <w:t xml:space="preserve"> Reputation des US-amerikanischen Hochschulsystems </w:t>
      </w:r>
      <w:r w:rsidR="00464ED1" w:rsidRPr="00FC055E">
        <w:rPr>
          <w:rFonts w:ascii="Arial" w:hAnsi="Arial" w:cs="Arial"/>
          <w:sz w:val="22"/>
          <w:szCs w:val="22"/>
        </w:rPr>
        <w:t xml:space="preserve">überwiegt also </w:t>
      </w:r>
      <w:r w:rsidRPr="00FC055E">
        <w:rPr>
          <w:rFonts w:ascii="Arial" w:hAnsi="Arial" w:cs="Arial"/>
          <w:sz w:val="22"/>
          <w:szCs w:val="22"/>
        </w:rPr>
        <w:t>gegenüber der Reputation einzelner Universitäten, die die internationale Rangordnung unterlaufen.</w:t>
      </w:r>
      <w:r w:rsidRPr="00FC055E">
        <w:rPr>
          <w:rStyle w:val="Funotenzeichen"/>
          <w:rFonts w:ascii="Arial" w:hAnsi="Arial" w:cs="Arial"/>
          <w:sz w:val="22"/>
          <w:szCs w:val="22"/>
        </w:rPr>
        <w:t xml:space="preserve"> </w:t>
      </w:r>
    </w:p>
    <w:p w14:paraId="6528860D" w14:textId="7ACD30F5" w:rsidR="00590971" w:rsidRPr="00590971" w:rsidRDefault="00842757" w:rsidP="00F178BE">
      <w:pPr>
        <w:spacing w:after="120" w:line="360" w:lineRule="auto"/>
        <w:jc w:val="both"/>
        <w:rPr>
          <w:rFonts w:ascii="Arial" w:hAnsi="Arial" w:cs="Arial"/>
          <w:sz w:val="22"/>
          <w:szCs w:val="22"/>
        </w:rPr>
      </w:pPr>
      <w:r w:rsidRPr="00FC055E">
        <w:rPr>
          <w:rFonts w:ascii="Arial" w:hAnsi="Arial" w:cs="Arial"/>
          <w:sz w:val="22"/>
          <w:szCs w:val="22"/>
        </w:rPr>
        <w:t xml:space="preserve">Betrachtet man zweitens die Rangordnung innerhalb der USA, bestimmt offenbar das Prestige der Herkunftsuniversität stärker die Betreuungsaussichten als die Leistungsfähigkeit des Herkunftsinstituts. Sowohl das Ranking des NRC als auch von US News bescheinigen der </w:t>
      </w:r>
      <w:r w:rsidR="00BE4DA2">
        <w:rPr>
          <w:rFonts w:ascii="Arial" w:hAnsi="Arial" w:cs="Arial"/>
          <w:sz w:val="22"/>
          <w:szCs w:val="22"/>
        </w:rPr>
        <w:t>Penn State</w:t>
      </w:r>
      <w:r w:rsidRPr="00FC055E">
        <w:rPr>
          <w:rFonts w:ascii="Arial" w:hAnsi="Arial" w:cs="Arial"/>
          <w:sz w:val="22"/>
          <w:szCs w:val="22"/>
        </w:rPr>
        <w:t xml:space="preserve"> eine höhere Leistungsfähigkeit im Fach Soziologie als Yale. Trotzdem erhalten Bewerber aus Yale deutlich häufiger eine positive Antwort. Das Prädikat „Ivy League“ scheint also international eine höhere Ausstrahlungskraft zu besitzen als die tatsächliche Forschungsleistung des entsprechenden Instituts – </w:t>
      </w:r>
      <w:r w:rsidRPr="00590971">
        <w:rPr>
          <w:rFonts w:ascii="Arial" w:hAnsi="Arial" w:cs="Arial"/>
          <w:sz w:val="22"/>
          <w:szCs w:val="22"/>
        </w:rPr>
        <w:t>se</w:t>
      </w:r>
      <w:r w:rsidR="00D624CB" w:rsidRPr="00590971">
        <w:rPr>
          <w:rFonts w:ascii="Arial" w:hAnsi="Arial" w:cs="Arial"/>
          <w:sz w:val="22"/>
          <w:szCs w:val="22"/>
        </w:rPr>
        <w:t>lbst innerhalb von Fachkreisen.</w:t>
      </w:r>
      <w:r w:rsidR="00590971" w:rsidRPr="00590971">
        <w:rPr>
          <w:rFonts w:ascii="Arial" w:hAnsi="Arial" w:cs="Arial"/>
          <w:sz w:val="22"/>
          <w:szCs w:val="22"/>
        </w:rPr>
        <w:t xml:space="preserve"> Natürlich sagt dieses Ergebnis nichts über die individuelle </w:t>
      </w:r>
      <w:r w:rsidR="00590971" w:rsidRPr="00451E04">
        <w:rPr>
          <w:rFonts w:ascii="Arial" w:eastAsia="Times New Roman" w:hAnsi="Arial" w:cs="Arial"/>
          <w:sz w:val="22"/>
          <w:szCs w:val="22"/>
          <w:lang w:eastAsia="de-DE"/>
        </w:rPr>
        <w:t xml:space="preserve">Leistungsfähigkeit eines einzelnen Bewerbers </w:t>
      </w:r>
      <w:proofErr w:type="gramStart"/>
      <w:r w:rsidR="00590971">
        <w:rPr>
          <w:rFonts w:ascii="Arial" w:eastAsia="Times New Roman" w:hAnsi="Arial" w:cs="Arial"/>
          <w:sz w:val="22"/>
          <w:szCs w:val="22"/>
          <w:lang w:eastAsia="de-DE"/>
        </w:rPr>
        <w:t>aus</w:t>
      </w:r>
      <w:proofErr w:type="gramEnd"/>
      <w:r w:rsidR="00590971">
        <w:rPr>
          <w:rFonts w:ascii="Arial" w:eastAsia="Times New Roman" w:hAnsi="Arial" w:cs="Arial"/>
          <w:sz w:val="22"/>
          <w:szCs w:val="22"/>
          <w:lang w:eastAsia="de-DE"/>
        </w:rPr>
        <w:t xml:space="preserve"> </w:t>
      </w:r>
      <w:r w:rsidR="00590971" w:rsidRPr="00451E04">
        <w:rPr>
          <w:rFonts w:ascii="Arial" w:eastAsia="Times New Roman" w:hAnsi="Arial" w:cs="Arial"/>
          <w:sz w:val="22"/>
          <w:szCs w:val="22"/>
          <w:lang w:eastAsia="de-DE"/>
        </w:rPr>
        <w:t>sondern nur über das relative Prestige von Penn State und Yale in soziologischen Fachkreisen</w:t>
      </w:r>
      <w:r w:rsidR="00590971">
        <w:rPr>
          <w:rFonts w:ascii="Arial" w:eastAsia="Times New Roman" w:hAnsi="Arial" w:cs="Arial"/>
          <w:sz w:val="22"/>
          <w:szCs w:val="22"/>
          <w:lang w:eastAsia="de-DE"/>
        </w:rPr>
        <w:t xml:space="preserve">. </w:t>
      </w:r>
    </w:p>
    <w:p w14:paraId="34523BCB" w14:textId="12BAA709" w:rsidR="00842757"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Die Einschätzung, dass das symbolische Kapital des nationalen Hochschulsystems </w:t>
      </w:r>
      <w:r w:rsidR="00464ED1" w:rsidRPr="00FC055E">
        <w:rPr>
          <w:rFonts w:ascii="Arial" w:hAnsi="Arial" w:cs="Arial"/>
          <w:sz w:val="22"/>
          <w:szCs w:val="22"/>
        </w:rPr>
        <w:t>relevanter</w:t>
      </w:r>
      <w:r w:rsidRPr="00FC055E">
        <w:rPr>
          <w:rFonts w:ascii="Arial" w:hAnsi="Arial" w:cs="Arial"/>
          <w:sz w:val="22"/>
          <w:szCs w:val="22"/>
        </w:rPr>
        <w:t xml:space="preserve"> ist als die Reputation der </w:t>
      </w:r>
      <w:r w:rsidR="00DF3AA3">
        <w:rPr>
          <w:rFonts w:ascii="Arial" w:hAnsi="Arial" w:cs="Arial"/>
          <w:sz w:val="22"/>
          <w:szCs w:val="22"/>
        </w:rPr>
        <w:t>einzelnen</w:t>
      </w:r>
      <w:r w:rsidR="00DF3AA3" w:rsidRPr="00FC055E">
        <w:rPr>
          <w:rFonts w:ascii="Arial" w:hAnsi="Arial" w:cs="Arial"/>
          <w:sz w:val="22"/>
          <w:szCs w:val="22"/>
        </w:rPr>
        <w:t xml:space="preserve"> </w:t>
      </w:r>
      <w:r w:rsidRPr="00FC055E">
        <w:rPr>
          <w:rFonts w:ascii="Arial" w:hAnsi="Arial" w:cs="Arial"/>
          <w:sz w:val="22"/>
          <w:szCs w:val="22"/>
        </w:rPr>
        <w:t>Universität und dass die fachl</w:t>
      </w:r>
      <w:r w:rsidR="00E72249">
        <w:rPr>
          <w:rFonts w:ascii="Arial" w:hAnsi="Arial" w:cs="Arial"/>
          <w:sz w:val="22"/>
          <w:szCs w:val="22"/>
        </w:rPr>
        <w:t>iche Qualität des Instituts dem</w:t>
      </w:r>
      <w:r w:rsidRPr="00FC055E">
        <w:rPr>
          <w:rFonts w:ascii="Arial" w:hAnsi="Arial" w:cs="Arial"/>
          <w:sz w:val="22"/>
          <w:szCs w:val="22"/>
        </w:rPr>
        <w:t>gegenüber keine Rolle spielt, wird von den Daten in Tabelle 2 bestätigt. Hier werden für jede der drei Ebenen – Hochschulsystem, Universität, Institut – bivariate Zusammenhangsmaße de</w:t>
      </w:r>
      <w:r w:rsidR="0098380D">
        <w:rPr>
          <w:rFonts w:ascii="Arial" w:hAnsi="Arial" w:cs="Arial"/>
          <w:sz w:val="22"/>
          <w:szCs w:val="22"/>
        </w:rPr>
        <w:t>s</w:t>
      </w:r>
      <w:r w:rsidRPr="00FC055E">
        <w:rPr>
          <w:rFonts w:ascii="Arial" w:hAnsi="Arial" w:cs="Arial"/>
          <w:sz w:val="22"/>
          <w:szCs w:val="22"/>
        </w:rPr>
        <w:t xml:space="preserve"> Antwort</w:t>
      </w:r>
      <w:r w:rsidR="0098380D">
        <w:rPr>
          <w:rFonts w:ascii="Arial" w:hAnsi="Arial" w:cs="Arial"/>
          <w:sz w:val="22"/>
          <w:szCs w:val="22"/>
        </w:rPr>
        <w:t>verhaltens</w:t>
      </w:r>
      <w:r w:rsidRPr="00FC055E">
        <w:rPr>
          <w:rFonts w:ascii="Arial" w:hAnsi="Arial" w:cs="Arial"/>
          <w:sz w:val="22"/>
          <w:szCs w:val="22"/>
        </w:rPr>
        <w:t xml:space="preserve"> der Hochschullehrer mit der angenommenen ordin</w:t>
      </w:r>
      <w:r w:rsidR="00E72249">
        <w:rPr>
          <w:rFonts w:ascii="Arial" w:hAnsi="Arial" w:cs="Arial"/>
          <w:sz w:val="22"/>
          <w:szCs w:val="22"/>
        </w:rPr>
        <w:t xml:space="preserve">alen Reihenfolge </w:t>
      </w:r>
      <w:r w:rsidR="0098380D">
        <w:rPr>
          <w:rFonts w:ascii="Arial" w:hAnsi="Arial" w:cs="Arial"/>
          <w:sz w:val="22"/>
          <w:szCs w:val="22"/>
        </w:rPr>
        <w:t>im</w:t>
      </w:r>
      <w:r w:rsidRPr="00FC055E">
        <w:rPr>
          <w:rFonts w:ascii="Arial" w:hAnsi="Arial" w:cs="Arial"/>
          <w:sz w:val="22"/>
          <w:szCs w:val="22"/>
        </w:rPr>
        <w:t xml:space="preserve"> Hinblick auf das symbolische Kapital </w:t>
      </w:r>
      <w:r w:rsidR="0098380D">
        <w:rPr>
          <w:rFonts w:ascii="Arial" w:hAnsi="Arial" w:cs="Arial"/>
          <w:sz w:val="22"/>
          <w:szCs w:val="22"/>
        </w:rPr>
        <w:t xml:space="preserve">der Herkunft der Bewerber </w:t>
      </w:r>
      <w:r w:rsidRPr="00FC055E">
        <w:rPr>
          <w:rFonts w:ascii="Arial" w:hAnsi="Arial" w:cs="Arial"/>
          <w:sz w:val="22"/>
          <w:szCs w:val="22"/>
        </w:rPr>
        <w:t>ausgewiesen. Es zeigt sich, dass dieser Zusammenhang in Bezug auf da</w:t>
      </w:r>
      <w:r w:rsidR="00E72249">
        <w:rPr>
          <w:rFonts w:ascii="Arial" w:hAnsi="Arial" w:cs="Arial"/>
          <w:sz w:val="22"/>
          <w:szCs w:val="22"/>
        </w:rPr>
        <w:t>s Hochschulsystem am größten, in</w:t>
      </w:r>
      <w:r w:rsidRPr="00FC055E">
        <w:rPr>
          <w:rFonts w:ascii="Arial" w:hAnsi="Arial" w:cs="Arial"/>
          <w:sz w:val="22"/>
          <w:szCs w:val="22"/>
        </w:rPr>
        <w:t xml:space="preserve"> Hinblick auf die fachliche Qualität des Institutes hingegen nicht vorhanden ist.</w:t>
      </w:r>
    </w:p>
    <w:p w14:paraId="5E102790" w14:textId="77777777" w:rsidR="00D624CB" w:rsidRDefault="00D624CB" w:rsidP="00D624CB">
      <w:pPr>
        <w:spacing w:after="120" w:line="360" w:lineRule="auto"/>
        <w:jc w:val="both"/>
        <w:rPr>
          <w:rFonts w:ascii="Arial" w:hAnsi="Arial" w:cs="Arial"/>
          <w:sz w:val="22"/>
          <w:szCs w:val="22"/>
        </w:rPr>
      </w:pPr>
    </w:p>
    <w:p w14:paraId="2CCAB2A1" w14:textId="77777777" w:rsidR="00D624CB" w:rsidRPr="00FC055E" w:rsidRDefault="00D624CB" w:rsidP="00D624CB">
      <w:pPr>
        <w:spacing w:after="160" w:line="360" w:lineRule="auto"/>
        <w:jc w:val="both"/>
        <w:rPr>
          <w:rFonts w:ascii="Arial" w:hAnsi="Arial" w:cs="Arial"/>
          <w:sz w:val="22"/>
          <w:szCs w:val="22"/>
        </w:rPr>
      </w:pPr>
      <w:r w:rsidRPr="00FC055E">
        <w:rPr>
          <w:rFonts w:ascii="Arial" w:hAnsi="Arial" w:cs="Arial"/>
          <w:b/>
          <w:sz w:val="22"/>
          <w:szCs w:val="22"/>
        </w:rPr>
        <w:t>Tabelle 2</w:t>
      </w:r>
      <w:r w:rsidRPr="00FC055E">
        <w:rPr>
          <w:rFonts w:ascii="Arial" w:hAnsi="Arial" w:cs="Arial"/>
          <w:sz w:val="22"/>
          <w:szCs w:val="22"/>
        </w:rPr>
        <w:t xml:space="preserve">: Zusammenhang des symbolischen Kapitals mit der Betreuungswahrscheinlichkeit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A0" w:firstRow="1" w:lastRow="0" w:firstColumn="1" w:lastColumn="0" w:noHBand="0" w:noVBand="0"/>
      </w:tblPr>
      <w:tblGrid>
        <w:gridCol w:w="2268"/>
        <w:gridCol w:w="4536"/>
        <w:gridCol w:w="851"/>
        <w:gridCol w:w="851"/>
        <w:gridCol w:w="566"/>
      </w:tblGrid>
      <w:tr w:rsidR="00D624CB" w:rsidRPr="00F3040E" w14:paraId="635AF1DD" w14:textId="77777777" w:rsidTr="00B730BC">
        <w:tc>
          <w:tcPr>
            <w:tcW w:w="2268" w:type="dxa"/>
            <w:tcBorders>
              <w:left w:val="nil"/>
              <w:bottom w:val="nil"/>
              <w:right w:val="nil"/>
            </w:tcBorders>
          </w:tcPr>
          <w:p w14:paraId="773392DE" w14:textId="77777777" w:rsidR="00D624CB" w:rsidRPr="00FC055E" w:rsidRDefault="00D624CB" w:rsidP="00B730BC">
            <w:pPr>
              <w:rPr>
                <w:rFonts w:ascii="Arial" w:hAnsi="Arial" w:cs="Arial"/>
                <w:b/>
                <w:sz w:val="22"/>
                <w:szCs w:val="22"/>
              </w:rPr>
            </w:pPr>
            <w:r w:rsidRPr="00FC055E">
              <w:rPr>
                <w:rFonts w:ascii="Arial" w:hAnsi="Arial" w:cs="Arial"/>
                <w:b/>
                <w:sz w:val="22"/>
                <w:szCs w:val="22"/>
              </w:rPr>
              <w:t>Reputation der/des</w:t>
            </w:r>
          </w:p>
        </w:tc>
        <w:tc>
          <w:tcPr>
            <w:tcW w:w="4536" w:type="dxa"/>
            <w:tcBorders>
              <w:left w:val="nil"/>
              <w:bottom w:val="nil"/>
              <w:right w:val="nil"/>
            </w:tcBorders>
          </w:tcPr>
          <w:p w14:paraId="10963A53" w14:textId="77777777" w:rsidR="00D624CB" w:rsidRPr="00FC055E" w:rsidRDefault="00D624CB" w:rsidP="00B730BC">
            <w:pPr>
              <w:rPr>
                <w:rFonts w:ascii="Arial" w:hAnsi="Arial" w:cs="Arial"/>
                <w:b/>
                <w:sz w:val="22"/>
                <w:szCs w:val="22"/>
              </w:rPr>
            </w:pPr>
            <w:r w:rsidRPr="00FC055E">
              <w:rPr>
                <w:rFonts w:ascii="Arial" w:hAnsi="Arial" w:cs="Arial"/>
                <w:b/>
                <w:sz w:val="22"/>
                <w:szCs w:val="22"/>
              </w:rPr>
              <w:t>Angenommene Reihenfolge</w:t>
            </w:r>
          </w:p>
        </w:tc>
        <w:tc>
          <w:tcPr>
            <w:tcW w:w="2268" w:type="dxa"/>
            <w:gridSpan w:val="3"/>
            <w:tcBorders>
              <w:left w:val="nil"/>
              <w:bottom w:val="nil"/>
              <w:right w:val="nil"/>
            </w:tcBorders>
          </w:tcPr>
          <w:p w14:paraId="6E483660" w14:textId="77777777" w:rsidR="00D624CB" w:rsidRPr="00FC055E" w:rsidRDefault="00D624CB" w:rsidP="00B730BC">
            <w:pPr>
              <w:rPr>
                <w:rFonts w:ascii="Arial" w:hAnsi="Arial" w:cs="Arial"/>
                <w:b/>
                <w:sz w:val="22"/>
                <w:szCs w:val="22"/>
              </w:rPr>
            </w:pPr>
            <w:r w:rsidRPr="00FC055E">
              <w:rPr>
                <w:rFonts w:ascii="Arial" w:hAnsi="Arial" w:cs="Arial"/>
                <w:b/>
                <w:sz w:val="22"/>
                <w:szCs w:val="22"/>
              </w:rPr>
              <w:t>Zusammenhang</w:t>
            </w:r>
          </w:p>
        </w:tc>
      </w:tr>
      <w:tr w:rsidR="00D624CB" w:rsidRPr="00F3040E" w14:paraId="368603D8" w14:textId="77777777" w:rsidTr="00B730BC">
        <w:tc>
          <w:tcPr>
            <w:tcW w:w="2268" w:type="dxa"/>
            <w:tcBorders>
              <w:top w:val="nil"/>
              <w:left w:val="nil"/>
              <w:right w:val="nil"/>
            </w:tcBorders>
          </w:tcPr>
          <w:p w14:paraId="32FDA831" w14:textId="77777777" w:rsidR="00D624CB" w:rsidRPr="00FC055E" w:rsidRDefault="00D624CB" w:rsidP="00B730BC">
            <w:pPr>
              <w:rPr>
                <w:rFonts w:ascii="Arial" w:hAnsi="Arial" w:cs="Arial"/>
                <w:sz w:val="22"/>
                <w:szCs w:val="22"/>
              </w:rPr>
            </w:pPr>
          </w:p>
        </w:tc>
        <w:tc>
          <w:tcPr>
            <w:tcW w:w="4536" w:type="dxa"/>
            <w:tcBorders>
              <w:top w:val="nil"/>
              <w:left w:val="nil"/>
              <w:right w:val="nil"/>
            </w:tcBorders>
          </w:tcPr>
          <w:p w14:paraId="482A31C6" w14:textId="77777777" w:rsidR="00D624CB" w:rsidRPr="00FC055E" w:rsidRDefault="00D624CB" w:rsidP="00B730BC">
            <w:pPr>
              <w:rPr>
                <w:rFonts w:ascii="Arial" w:hAnsi="Arial" w:cs="Arial"/>
                <w:sz w:val="22"/>
                <w:szCs w:val="22"/>
                <w:lang w:val="en-US"/>
              </w:rPr>
            </w:pPr>
          </w:p>
        </w:tc>
        <w:tc>
          <w:tcPr>
            <w:tcW w:w="851" w:type="dxa"/>
            <w:tcBorders>
              <w:top w:val="nil"/>
              <w:left w:val="nil"/>
              <w:right w:val="nil"/>
            </w:tcBorders>
          </w:tcPr>
          <w:p w14:paraId="15C447D5" w14:textId="77777777" w:rsidR="00D624CB" w:rsidRPr="00FC055E" w:rsidRDefault="00D624CB" w:rsidP="00B730BC">
            <w:pPr>
              <w:rPr>
                <w:rFonts w:ascii="Arial" w:hAnsi="Arial" w:cs="Arial"/>
                <w:sz w:val="22"/>
                <w:szCs w:val="22"/>
              </w:rPr>
            </w:pPr>
            <w:r w:rsidRPr="00FC055E">
              <w:rPr>
                <w:rFonts w:ascii="Arial" w:hAnsi="Arial" w:cs="Arial"/>
                <w:sz w:val="22"/>
                <w:szCs w:val="22"/>
              </w:rPr>
              <w:t>Gamma</w:t>
            </w:r>
          </w:p>
        </w:tc>
        <w:tc>
          <w:tcPr>
            <w:tcW w:w="851" w:type="dxa"/>
            <w:tcBorders>
              <w:top w:val="nil"/>
              <w:left w:val="nil"/>
              <w:right w:val="nil"/>
            </w:tcBorders>
          </w:tcPr>
          <w:p w14:paraId="2604741F" w14:textId="77777777" w:rsidR="00D624CB" w:rsidRPr="00FC055E" w:rsidRDefault="00D624CB" w:rsidP="00B730BC">
            <w:pPr>
              <w:rPr>
                <w:rFonts w:ascii="Arial" w:hAnsi="Arial" w:cs="Arial"/>
                <w:sz w:val="22"/>
                <w:szCs w:val="22"/>
              </w:rPr>
            </w:pPr>
            <w:r w:rsidRPr="00FC055E">
              <w:rPr>
                <w:rFonts w:ascii="Arial" w:hAnsi="Arial" w:cs="Arial"/>
                <w:sz w:val="22"/>
                <w:szCs w:val="22"/>
              </w:rPr>
              <w:t>Tau b</w:t>
            </w:r>
          </w:p>
        </w:tc>
        <w:tc>
          <w:tcPr>
            <w:tcW w:w="566" w:type="dxa"/>
            <w:tcBorders>
              <w:top w:val="nil"/>
              <w:left w:val="nil"/>
              <w:right w:val="nil"/>
            </w:tcBorders>
          </w:tcPr>
          <w:p w14:paraId="13E79684" w14:textId="77777777" w:rsidR="00D624CB" w:rsidRPr="00FC055E" w:rsidRDefault="00D624CB" w:rsidP="00B730BC">
            <w:pPr>
              <w:rPr>
                <w:rFonts w:ascii="Arial" w:hAnsi="Arial" w:cs="Arial"/>
                <w:sz w:val="22"/>
                <w:szCs w:val="22"/>
              </w:rPr>
            </w:pPr>
            <w:r w:rsidRPr="00FC055E">
              <w:rPr>
                <w:rFonts w:ascii="Arial" w:hAnsi="Arial" w:cs="Arial"/>
                <w:sz w:val="22"/>
                <w:szCs w:val="22"/>
              </w:rPr>
              <w:t>p</w:t>
            </w:r>
          </w:p>
        </w:tc>
      </w:tr>
      <w:tr w:rsidR="00D624CB" w:rsidRPr="00F3040E" w14:paraId="6BFC1974" w14:textId="77777777" w:rsidTr="00B730BC">
        <w:tc>
          <w:tcPr>
            <w:tcW w:w="2268" w:type="dxa"/>
            <w:tcBorders>
              <w:left w:val="nil"/>
              <w:bottom w:val="nil"/>
              <w:right w:val="nil"/>
            </w:tcBorders>
          </w:tcPr>
          <w:p w14:paraId="4E4E50A8" w14:textId="77777777" w:rsidR="00D624CB" w:rsidRPr="00FC055E" w:rsidRDefault="00D624CB" w:rsidP="00B730BC">
            <w:pPr>
              <w:rPr>
                <w:rFonts w:ascii="Arial" w:hAnsi="Arial" w:cs="Arial"/>
                <w:b/>
                <w:sz w:val="22"/>
                <w:szCs w:val="22"/>
              </w:rPr>
            </w:pPr>
            <w:r w:rsidRPr="00FC055E">
              <w:rPr>
                <w:rFonts w:ascii="Arial" w:hAnsi="Arial" w:cs="Arial"/>
                <w:b/>
                <w:sz w:val="22"/>
                <w:szCs w:val="22"/>
              </w:rPr>
              <w:t>Hochschulsystems</w:t>
            </w:r>
          </w:p>
        </w:tc>
        <w:tc>
          <w:tcPr>
            <w:tcW w:w="4536" w:type="dxa"/>
            <w:tcBorders>
              <w:left w:val="nil"/>
              <w:bottom w:val="nil"/>
              <w:right w:val="nil"/>
            </w:tcBorders>
          </w:tcPr>
          <w:p w14:paraId="2D79190B" w14:textId="77777777" w:rsidR="00D624CB" w:rsidRPr="00FC055E" w:rsidRDefault="00D624CB" w:rsidP="00B730BC">
            <w:pPr>
              <w:rPr>
                <w:rFonts w:ascii="Arial" w:hAnsi="Arial" w:cs="Arial"/>
                <w:sz w:val="22"/>
                <w:szCs w:val="22"/>
                <w:lang w:val="sv-SE"/>
              </w:rPr>
            </w:pPr>
            <w:r w:rsidRPr="00FC055E">
              <w:rPr>
                <w:rFonts w:ascii="Arial" w:hAnsi="Arial" w:cs="Arial"/>
                <w:sz w:val="22"/>
                <w:szCs w:val="22"/>
                <w:lang w:val="sv-SE"/>
              </w:rPr>
              <w:t xml:space="preserve">Yale / Penn State &gt; NU Sing. &gt; VNU Hanoi </w:t>
            </w:r>
          </w:p>
        </w:tc>
        <w:tc>
          <w:tcPr>
            <w:tcW w:w="851" w:type="dxa"/>
            <w:tcBorders>
              <w:left w:val="nil"/>
              <w:bottom w:val="nil"/>
              <w:right w:val="nil"/>
            </w:tcBorders>
          </w:tcPr>
          <w:p w14:paraId="19C296F0" w14:textId="77777777" w:rsidR="00D624CB" w:rsidRPr="00FC055E" w:rsidRDefault="00D624CB" w:rsidP="00B730BC">
            <w:pPr>
              <w:rPr>
                <w:rFonts w:ascii="Arial" w:hAnsi="Arial" w:cs="Arial"/>
                <w:sz w:val="22"/>
                <w:szCs w:val="22"/>
              </w:rPr>
            </w:pPr>
            <w:r w:rsidRPr="00FC055E">
              <w:rPr>
                <w:rFonts w:ascii="Arial" w:hAnsi="Arial" w:cs="Arial"/>
                <w:sz w:val="22"/>
                <w:szCs w:val="22"/>
                <w:lang w:val="en-US"/>
              </w:rPr>
              <w:t>0,30</w:t>
            </w:r>
          </w:p>
        </w:tc>
        <w:tc>
          <w:tcPr>
            <w:tcW w:w="851" w:type="dxa"/>
            <w:tcBorders>
              <w:left w:val="nil"/>
              <w:bottom w:val="nil"/>
              <w:right w:val="nil"/>
            </w:tcBorders>
          </w:tcPr>
          <w:p w14:paraId="592523CB" w14:textId="77777777" w:rsidR="00D624CB" w:rsidRPr="00FC055E" w:rsidRDefault="00D624CB" w:rsidP="00B730BC">
            <w:pPr>
              <w:rPr>
                <w:rFonts w:ascii="Arial" w:hAnsi="Arial" w:cs="Arial"/>
                <w:sz w:val="22"/>
                <w:szCs w:val="22"/>
              </w:rPr>
            </w:pPr>
            <w:r w:rsidRPr="00FC055E">
              <w:rPr>
                <w:rFonts w:ascii="Arial" w:hAnsi="Arial" w:cs="Arial"/>
                <w:sz w:val="22"/>
                <w:szCs w:val="22"/>
                <w:lang w:val="en-US"/>
              </w:rPr>
              <w:t>0,17</w:t>
            </w:r>
          </w:p>
        </w:tc>
        <w:tc>
          <w:tcPr>
            <w:tcW w:w="566" w:type="dxa"/>
            <w:tcBorders>
              <w:left w:val="nil"/>
              <w:bottom w:val="nil"/>
              <w:right w:val="nil"/>
            </w:tcBorders>
          </w:tcPr>
          <w:p w14:paraId="00DAFBD7" w14:textId="77777777" w:rsidR="00D624CB" w:rsidRPr="00FC055E" w:rsidRDefault="00D624CB" w:rsidP="00B730BC">
            <w:pPr>
              <w:rPr>
                <w:rFonts w:ascii="Arial" w:hAnsi="Arial" w:cs="Arial"/>
                <w:sz w:val="22"/>
                <w:szCs w:val="22"/>
              </w:rPr>
            </w:pPr>
            <w:r w:rsidRPr="00FC055E">
              <w:rPr>
                <w:rFonts w:ascii="Arial" w:hAnsi="Arial" w:cs="Arial"/>
                <w:sz w:val="22"/>
                <w:szCs w:val="22"/>
                <w:lang w:val="en-US"/>
              </w:rPr>
              <w:t>&lt;0,05</w:t>
            </w:r>
          </w:p>
        </w:tc>
      </w:tr>
      <w:tr w:rsidR="00D624CB" w:rsidRPr="00F3040E" w14:paraId="659ED4AC" w14:textId="77777777" w:rsidTr="00B730BC">
        <w:tc>
          <w:tcPr>
            <w:tcW w:w="2268" w:type="dxa"/>
            <w:tcBorders>
              <w:top w:val="nil"/>
              <w:left w:val="nil"/>
              <w:bottom w:val="nil"/>
              <w:right w:val="nil"/>
            </w:tcBorders>
          </w:tcPr>
          <w:p w14:paraId="416979BE" w14:textId="77777777" w:rsidR="00D624CB" w:rsidRPr="00FC055E" w:rsidRDefault="00D624CB" w:rsidP="00B730BC">
            <w:pPr>
              <w:rPr>
                <w:rFonts w:ascii="Arial" w:hAnsi="Arial" w:cs="Arial"/>
                <w:b/>
                <w:sz w:val="22"/>
                <w:szCs w:val="22"/>
              </w:rPr>
            </w:pPr>
            <w:r w:rsidRPr="00FC055E">
              <w:rPr>
                <w:rFonts w:ascii="Arial" w:hAnsi="Arial" w:cs="Arial"/>
                <w:b/>
                <w:sz w:val="22"/>
                <w:szCs w:val="22"/>
              </w:rPr>
              <w:t>Herkunftsuniversität</w:t>
            </w:r>
          </w:p>
        </w:tc>
        <w:tc>
          <w:tcPr>
            <w:tcW w:w="4536" w:type="dxa"/>
            <w:tcBorders>
              <w:top w:val="nil"/>
              <w:left w:val="nil"/>
              <w:bottom w:val="nil"/>
              <w:right w:val="nil"/>
            </w:tcBorders>
          </w:tcPr>
          <w:p w14:paraId="0670441F" w14:textId="77777777" w:rsidR="00D624CB" w:rsidRPr="00FC055E" w:rsidRDefault="00D624CB" w:rsidP="00B730BC">
            <w:pPr>
              <w:rPr>
                <w:rFonts w:ascii="Arial" w:hAnsi="Arial" w:cs="Arial"/>
                <w:sz w:val="22"/>
                <w:szCs w:val="22"/>
                <w:lang w:val="sv-SE"/>
              </w:rPr>
            </w:pPr>
            <w:r w:rsidRPr="00FC055E">
              <w:rPr>
                <w:rFonts w:ascii="Arial" w:hAnsi="Arial" w:cs="Arial"/>
                <w:sz w:val="22"/>
                <w:szCs w:val="22"/>
                <w:lang w:val="sv-SE"/>
              </w:rPr>
              <w:t xml:space="preserve">Yale &gt; NU Sing. &gt; Penn State &gt; VNU Hanoi </w:t>
            </w:r>
          </w:p>
        </w:tc>
        <w:tc>
          <w:tcPr>
            <w:tcW w:w="851" w:type="dxa"/>
            <w:tcBorders>
              <w:top w:val="nil"/>
              <w:left w:val="nil"/>
              <w:bottom w:val="nil"/>
              <w:right w:val="nil"/>
            </w:tcBorders>
          </w:tcPr>
          <w:p w14:paraId="1BF2016D" w14:textId="77777777" w:rsidR="00D624CB" w:rsidRPr="00FC055E" w:rsidRDefault="00D624CB" w:rsidP="00B730BC">
            <w:pPr>
              <w:rPr>
                <w:rFonts w:ascii="Arial" w:hAnsi="Arial" w:cs="Arial"/>
                <w:sz w:val="22"/>
                <w:szCs w:val="22"/>
                <w:lang w:val="en-US"/>
              </w:rPr>
            </w:pPr>
            <w:r w:rsidRPr="00FC055E">
              <w:rPr>
                <w:rFonts w:ascii="Arial" w:hAnsi="Arial" w:cs="Arial"/>
                <w:sz w:val="22"/>
                <w:szCs w:val="22"/>
                <w:lang w:val="en-US"/>
              </w:rPr>
              <w:t>0,18</w:t>
            </w:r>
          </w:p>
        </w:tc>
        <w:tc>
          <w:tcPr>
            <w:tcW w:w="851" w:type="dxa"/>
            <w:tcBorders>
              <w:top w:val="nil"/>
              <w:left w:val="nil"/>
              <w:bottom w:val="nil"/>
              <w:right w:val="nil"/>
            </w:tcBorders>
          </w:tcPr>
          <w:p w14:paraId="2E2D73DD" w14:textId="77777777" w:rsidR="00D624CB" w:rsidRPr="00FC055E" w:rsidRDefault="00D624CB" w:rsidP="00B730BC">
            <w:pPr>
              <w:rPr>
                <w:rFonts w:ascii="Arial" w:hAnsi="Arial" w:cs="Arial"/>
                <w:sz w:val="22"/>
                <w:szCs w:val="22"/>
                <w:lang w:val="en-US"/>
              </w:rPr>
            </w:pPr>
            <w:r w:rsidRPr="00FC055E">
              <w:rPr>
                <w:rFonts w:ascii="Arial" w:hAnsi="Arial" w:cs="Arial"/>
                <w:sz w:val="22"/>
                <w:szCs w:val="22"/>
                <w:lang w:val="en-US"/>
              </w:rPr>
              <w:t>0,11</w:t>
            </w:r>
          </w:p>
        </w:tc>
        <w:tc>
          <w:tcPr>
            <w:tcW w:w="566" w:type="dxa"/>
            <w:tcBorders>
              <w:top w:val="nil"/>
              <w:left w:val="nil"/>
              <w:bottom w:val="nil"/>
              <w:right w:val="nil"/>
            </w:tcBorders>
          </w:tcPr>
          <w:p w14:paraId="20C2A0C8" w14:textId="77777777" w:rsidR="00D624CB" w:rsidRPr="00FC055E" w:rsidRDefault="00D624CB" w:rsidP="00B730BC">
            <w:pPr>
              <w:rPr>
                <w:rFonts w:ascii="Arial" w:hAnsi="Arial" w:cs="Arial"/>
                <w:sz w:val="22"/>
                <w:szCs w:val="22"/>
                <w:lang w:val="en-US"/>
              </w:rPr>
            </w:pPr>
            <w:r w:rsidRPr="00FC055E">
              <w:rPr>
                <w:rFonts w:ascii="Arial" w:hAnsi="Arial" w:cs="Arial"/>
                <w:sz w:val="22"/>
                <w:szCs w:val="22"/>
                <w:lang w:val="en-US"/>
              </w:rPr>
              <w:t>&lt;0,05</w:t>
            </w:r>
          </w:p>
        </w:tc>
      </w:tr>
      <w:tr w:rsidR="00D624CB" w:rsidRPr="00F3040E" w14:paraId="6FA4FCF4" w14:textId="77777777" w:rsidTr="00B730BC">
        <w:tc>
          <w:tcPr>
            <w:tcW w:w="2268" w:type="dxa"/>
            <w:tcBorders>
              <w:top w:val="nil"/>
              <w:left w:val="nil"/>
              <w:right w:val="nil"/>
            </w:tcBorders>
          </w:tcPr>
          <w:p w14:paraId="1951B748" w14:textId="77777777" w:rsidR="00D624CB" w:rsidRPr="00FC055E" w:rsidRDefault="00D624CB" w:rsidP="00B730BC">
            <w:pPr>
              <w:rPr>
                <w:rFonts w:ascii="Arial" w:hAnsi="Arial" w:cs="Arial"/>
                <w:b/>
                <w:sz w:val="22"/>
                <w:szCs w:val="22"/>
              </w:rPr>
            </w:pPr>
            <w:r w:rsidRPr="00FC055E">
              <w:rPr>
                <w:rFonts w:ascii="Arial" w:hAnsi="Arial" w:cs="Arial"/>
                <w:b/>
                <w:sz w:val="22"/>
                <w:szCs w:val="22"/>
              </w:rPr>
              <w:t>Instituts</w:t>
            </w:r>
          </w:p>
        </w:tc>
        <w:tc>
          <w:tcPr>
            <w:tcW w:w="4536" w:type="dxa"/>
            <w:tcBorders>
              <w:top w:val="nil"/>
              <w:left w:val="nil"/>
              <w:right w:val="nil"/>
            </w:tcBorders>
          </w:tcPr>
          <w:p w14:paraId="6EF1151A" w14:textId="77777777" w:rsidR="00D624CB" w:rsidRPr="00FC055E" w:rsidRDefault="00D624CB" w:rsidP="00B730BC">
            <w:pPr>
              <w:ind w:right="-250"/>
              <w:rPr>
                <w:rFonts w:ascii="Arial" w:hAnsi="Arial" w:cs="Arial"/>
                <w:sz w:val="22"/>
                <w:szCs w:val="22"/>
              </w:rPr>
            </w:pPr>
            <w:r w:rsidRPr="00FC055E">
              <w:rPr>
                <w:rFonts w:ascii="Arial" w:hAnsi="Arial" w:cs="Arial"/>
                <w:sz w:val="22"/>
                <w:szCs w:val="22"/>
              </w:rPr>
              <w:t>Penn State &gt; Yale</w:t>
            </w:r>
          </w:p>
        </w:tc>
        <w:tc>
          <w:tcPr>
            <w:tcW w:w="851" w:type="dxa"/>
            <w:tcBorders>
              <w:top w:val="nil"/>
              <w:left w:val="nil"/>
              <w:right w:val="nil"/>
            </w:tcBorders>
          </w:tcPr>
          <w:p w14:paraId="31C37F61" w14:textId="77777777" w:rsidR="00D624CB" w:rsidRPr="00FC055E" w:rsidRDefault="00D624CB" w:rsidP="00B730BC">
            <w:pPr>
              <w:rPr>
                <w:rFonts w:ascii="Arial" w:hAnsi="Arial" w:cs="Arial"/>
                <w:sz w:val="22"/>
                <w:szCs w:val="22"/>
              </w:rPr>
            </w:pPr>
            <w:r w:rsidRPr="00FC055E">
              <w:rPr>
                <w:rFonts w:ascii="Arial" w:hAnsi="Arial" w:cs="Arial"/>
                <w:sz w:val="22"/>
                <w:szCs w:val="22"/>
              </w:rPr>
              <w:t>-0,15</w:t>
            </w:r>
          </w:p>
        </w:tc>
        <w:tc>
          <w:tcPr>
            <w:tcW w:w="851" w:type="dxa"/>
            <w:tcBorders>
              <w:top w:val="nil"/>
              <w:left w:val="nil"/>
              <w:right w:val="nil"/>
            </w:tcBorders>
          </w:tcPr>
          <w:p w14:paraId="33FA8CAC" w14:textId="77777777" w:rsidR="00D624CB" w:rsidRPr="00FC055E" w:rsidRDefault="00D624CB" w:rsidP="00B730BC">
            <w:pPr>
              <w:rPr>
                <w:rFonts w:ascii="Arial" w:hAnsi="Arial" w:cs="Arial"/>
                <w:sz w:val="22"/>
                <w:szCs w:val="22"/>
              </w:rPr>
            </w:pPr>
            <w:r w:rsidRPr="00FC055E">
              <w:rPr>
                <w:rFonts w:ascii="Arial" w:hAnsi="Arial" w:cs="Arial"/>
                <w:sz w:val="22"/>
                <w:szCs w:val="22"/>
              </w:rPr>
              <w:t>-0,08</w:t>
            </w:r>
          </w:p>
        </w:tc>
        <w:tc>
          <w:tcPr>
            <w:tcW w:w="566" w:type="dxa"/>
            <w:tcBorders>
              <w:top w:val="nil"/>
              <w:left w:val="nil"/>
              <w:right w:val="nil"/>
            </w:tcBorders>
          </w:tcPr>
          <w:p w14:paraId="2DF3738F" w14:textId="77777777" w:rsidR="00D624CB" w:rsidRPr="00FC055E" w:rsidRDefault="00D624CB" w:rsidP="00B730BC">
            <w:pPr>
              <w:rPr>
                <w:rFonts w:ascii="Arial" w:hAnsi="Arial" w:cs="Arial"/>
                <w:sz w:val="22"/>
                <w:szCs w:val="22"/>
              </w:rPr>
            </w:pPr>
            <w:r w:rsidRPr="00FC055E">
              <w:rPr>
                <w:rFonts w:ascii="Arial" w:hAnsi="Arial" w:cs="Arial"/>
                <w:sz w:val="22"/>
                <w:szCs w:val="22"/>
                <w:lang w:val="en-US"/>
              </w:rPr>
              <w:t>&gt;0,05</w:t>
            </w:r>
          </w:p>
        </w:tc>
      </w:tr>
    </w:tbl>
    <w:p w14:paraId="27890BD6" w14:textId="77777777" w:rsidR="00D624CB" w:rsidRPr="00FC055E" w:rsidRDefault="00D624CB" w:rsidP="00D624CB">
      <w:pPr>
        <w:spacing w:after="160" w:line="360" w:lineRule="auto"/>
        <w:jc w:val="both"/>
        <w:rPr>
          <w:rFonts w:ascii="Arial" w:hAnsi="Arial" w:cs="Arial"/>
          <w:sz w:val="22"/>
          <w:szCs w:val="22"/>
        </w:rPr>
      </w:pPr>
    </w:p>
    <w:p w14:paraId="51CC9A0F" w14:textId="23CCB453"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Auch unter Kontrolle des Geschlechts, des Alters, der Besoldungsgruppe, der bisherigen DFG-Projekte, des Geburtslandes und eines ausländischen Studienabschlusses der angefragten Hochschullehrer zeigen multivariate Analysen, dass Bewerber aus Yale am ehesten und Bewerber der NU Singapore sowie der VNU Hanoi am seltensten eine positive Rückantwort erhalten, wobei zwischen den beiden letzteren Gruppen offenbar nicht differenziert wird</w:t>
      </w:r>
      <w:r w:rsidR="002D3575" w:rsidRPr="00FC055E">
        <w:rPr>
          <w:rFonts w:ascii="Arial" w:hAnsi="Arial" w:cs="Arial"/>
          <w:sz w:val="22"/>
          <w:szCs w:val="22"/>
        </w:rPr>
        <w:t xml:space="preserve"> (</w:t>
      </w:r>
      <w:r w:rsidR="000843BE">
        <w:rPr>
          <w:rFonts w:ascii="Arial" w:hAnsi="Arial" w:cs="Arial"/>
          <w:sz w:val="22"/>
          <w:szCs w:val="22"/>
        </w:rPr>
        <w:t xml:space="preserve">tabellarische Ergebnisse der Regressionsanalysen werden aus Platzgründen nicht ausgewiesen). </w:t>
      </w:r>
      <w:r w:rsidRPr="00FC055E">
        <w:rPr>
          <w:rFonts w:ascii="Arial" w:hAnsi="Arial" w:cs="Arial"/>
          <w:sz w:val="22"/>
          <w:szCs w:val="22"/>
        </w:rPr>
        <w:t xml:space="preserve">In Anbetracht der zufälligen Zuweisung der vier Herkunftsidentitäten auf die Hochschullehrer war dieser Befund </w:t>
      </w:r>
      <w:proofErr w:type="gramStart"/>
      <w:r w:rsidRPr="00FC055E">
        <w:rPr>
          <w:rFonts w:ascii="Arial" w:hAnsi="Arial" w:cs="Arial"/>
          <w:sz w:val="22"/>
          <w:szCs w:val="22"/>
        </w:rPr>
        <w:t>natürlich zu</w:t>
      </w:r>
      <w:proofErr w:type="gramEnd"/>
      <w:r w:rsidRPr="00FC055E">
        <w:rPr>
          <w:rFonts w:ascii="Arial" w:hAnsi="Arial" w:cs="Arial"/>
          <w:sz w:val="22"/>
          <w:szCs w:val="22"/>
        </w:rPr>
        <w:t xml:space="preserve"> erwarten. </w:t>
      </w:r>
      <w:r w:rsidR="00464ED1" w:rsidRPr="00FC055E">
        <w:rPr>
          <w:rFonts w:ascii="Arial" w:hAnsi="Arial" w:cs="Arial"/>
          <w:sz w:val="22"/>
          <w:szCs w:val="22"/>
        </w:rPr>
        <w:t>Die</w:t>
      </w:r>
      <w:r w:rsidRPr="00FC055E">
        <w:rPr>
          <w:rFonts w:ascii="Arial" w:hAnsi="Arial" w:cs="Arial"/>
          <w:sz w:val="22"/>
          <w:szCs w:val="22"/>
        </w:rPr>
        <w:t xml:space="preserve"> Reihenfolge</w:t>
      </w:r>
      <w:r w:rsidR="003E4A7C">
        <w:rPr>
          <w:rFonts w:ascii="Arial" w:hAnsi="Arial" w:cs="Arial"/>
          <w:sz w:val="22"/>
          <w:szCs w:val="22"/>
        </w:rPr>
        <w:t xml:space="preserve"> der Universitäten in Bezug auf die </w:t>
      </w:r>
      <w:r w:rsidR="003E4A7C">
        <w:rPr>
          <w:rFonts w:ascii="Arial" w:hAnsi="Arial" w:cs="Arial"/>
          <w:sz w:val="22"/>
          <w:szCs w:val="22"/>
        </w:rPr>
        <w:lastRenderedPageBreak/>
        <w:t>positiven Antwortraten</w:t>
      </w:r>
      <w:r w:rsidRPr="00FC055E">
        <w:rPr>
          <w:rFonts w:ascii="Arial" w:hAnsi="Arial" w:cs="Arial"/>
          <w:sz w:val="22"/>
          <w:szCs w:val="22"/>
        </w:rPr>
        <w:t xml:space="preserve"> </w:t>
      </w:r>
      <w:r w:rsidR="00464ED1" w:rsidRPr="00FC055E">
        <w:rPr>
          <w:rFonts w:ascii="Arial" w:hAnsi="Arial" w:cs="Arial"/>
          <w:sz w:val="22"/>
          <w:szCs w:val="22"/>
        </w:rPr>
        <w:t xml:space="preserve">ist zudem </w:t>
      </w:r>
      <w:r w:rsidRPr="00FC055E">
        <w:rPr>
          <w:rFonts w:ascii="Arial" w:hAnsi="Arial" w:cs="Arial"/>
          <w:sz w:val="22"/>
          <w:szCs w:val="22"/>
        </w:rPr>
        <w:t>praktisch unabhängig von de</w:t>
      </w:r>
      <w:r w:rsidR="00BF2D04">
        <w:rPr>
          <w:rFonts w:ascii="Arial" w:hAnsi="Arial" w:cs="Arial"/>
          <w:sz w:val="22"/>
          <w:szCs w:val="22"/>
        </w:rPr>
        <w:t xml:space="preserve">n individuellen Eigenschaften </w:t>
      </w:r>
      <w:r w:rsidRPr="00FC055E">
        <w:rPr>
          <w:rFonts w:ascii="Arial" w:hAnsi="Arial" w:cs="Arial"/>
          <w:sz w:val="22"/>
          <w:szCs w:val="22"/>
        </w:rPr>
        <w:t xml:space="preserve">der angefragten Professoren; in allen Gruppen findet sich eine starke Präferenz für das US-amerikanische Hochschulsystem. </w:t>
      </w:r>
      <w:r w:rsidR="00BF2D04">
        <w:rPr>
          <w:rFonts w:ascii="Arial" w:hAnsi="Arial" w:cs="Arial"/>
          <w:sz w:val="22"/>
          <w:szCs w:val="22"/>
        </w:rPr>
        <w:t>Überraschenderweise</w:t>
      </w:r>
      <w:r w:rsidR="00BF2D04" w:rsidRPr="00FC055E">
        <w:rPr>
          <w:rFonts w:ascii="Arial" w:hAnsi="Arial" w:cs="Arial"/>
          <w:sz w:val="22"/>
          <w:szCs w:val="22"/>
        </w:rPr>
        <w:t xml:space="preserve"> </w:t>
      </w:r>
      <w:r w:rsidRPr="00FC055E">
        <w:rPr>
          <w:rFonts w:ascii="Arial" w:hAnsi="Arial" w:cs="Arial"/>
          <w:sz w:val="22"/>
          <w:szCs w:val="22"/>
        </w:rPr>
        <w:t xml:space="preserve">ist </w:t>
      </w:r>
      <w:r w:rsidR="00BF2D04">
        <w:rPr>
          <w:rFonts w:ascii="Arial" w:hAnsi="Arial" w:cs="Arial"/>
          <w:sz w:val="22"/>
          <w:szCs w:val="22"/>
        </w:rPr>
        <w:t xml:space="preserve">aber </w:t>
      </w:r>
      <w:r w:rsidRPr="00FC055E">
        <w:rPr>
          <w:rFonts w:ascii="Arial" w:hAnsi="Arial" w:cs="Arial"/>
          <w:sz w:val="22"/>
          <w:szCs w:val="22"/>
        </w:rPr>
        <w:t xml:space="preserve">die Präferenz von Bewerbern aus Yale gegenüber denen von der Penn State bei Frauen, den im Ausland Geborenen, den Forschungsstärkeren, den Älteren und denjenigen in der höchsten Besoldungsstufe W3/C4 deutlich stärker ausgeprägt. </w:t>
      </w:r>
      <w:r w:rsidR="00BF2D04">
        <w:rPr>
          <w:rFonts w:ascii="Arial" w:hAnsi="Arial" w:cs="Arial"/>
          <w:sz w:val="22"/>
          <w:szCs w:val="22"/>
        </w:rPr>
        <w:t>Offenbar geht</w:t>
      </w:r>
      <w:r w:rsidRPr="00FC055E">
        <w:rPr>
          <w:rFonts w:ascii="Arial" w:hAnsi="Arial" w:cs="Arial"/>
          <w:sz w:val="22"/>
          <w:szCs w:val="22"/>
        </w:rPr>
        <w:t xml:space="preserve"> mehr Erfahrung nicht mit einer höheren Wertschätzung der fachlichen Qualität der Herkunftsinstitute einher, wie wir ursprünglich angenommen hatten.</w:t>
      </w:r>
    </w:p>
    <w:p w14:paraId="313F1DF2" w14:textId="6E6CA7A4" w:rsidR="00842757"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Insgesamt </w:t>
      </w:r>
      <w:r w:rsidR="00464ED1" w:rsidRPr="00FC055E">
        <w:rPr>
          <w:rFonts w:ascii="Arial" w:hAnsi="Arial" w:cs="Arial"/>
          <w:sz w:val="22"/>
          <w:szCs w:val="22"/>
        </w:rPr>
        <w:t xml:space="preserve">erleichtert also </w:t>
      </w:r>
      <w:r w:rsidRPr="00FC055E">
        <w:rPr>
          <w:rFonts w:ascii="Arial" w:hAnsi="Arial" w:cs="Arial"/>
          <w:sz w:val="22"/>
          <w:szCs w:val="22"/>
        </w:rPr>
        <w:t xml:space="preserve">in erster Linie das symbolische Kapital eines Hochschulsystems wie das der USA und in zweiter Instanz das wissenschaftliche Prestige einer Ivy-League-Universität wie Yale ihren Doktoranden den Zugang zu internationaler Hochschulmobilität. Beide geben allerdings weniger Aufschluss über die </w:t>
      </w:r>
      <w:r w:rsidRPr="00FC055E">
        <w:rPr>
          <w:rFonts w:ascii="Arial" w:hAnsi="Arial" w:cs="Arial"/>
          <w:i/>
          <w:sz w:val="22"/>
          <w:szCs w:val="22"/>
        </w:rPr>
        <w:t>individuelle</w:t>
      </w:r>
      <w:r w:rsidRPr="00FC055E">
        <w:rPr>
          <w:rFonts w:ascii="Arial" w:hAnsi="Arial" w:cs="Arial"/>
          <w:sz w:val="22"/>
          <w:szCs w:val="22"/>
        </w:rPr>
        <w:t xml:space="preserve"> Leistungsfähigkeit eines Doktoranden als die Reputation seines Herkunftsinstituts. Während </w:t>
      </w:r>
      <w:r w:rsidR="00DF3AA3">
        <w:rPr>
          <w:rFonts w:ascii="Arial" w:hAnsi="Arial" w:cs="Arial"/>
          <w:sz w:val="22"/>
          <w:szCs w:val="22"/>
        </w:rPr>
        <w:t>letzteres</w:t>
      </w:r>
      <w:r w:rsidRPr="00FC055E">
        <w:rPr>
          <w:rFonts w:ascii="Arial" w:hAnsi="Arial" w:cs="Arial"/>
          <w:sz w:val="22"/>
          <w:szCs w:val="22"/>
        </w:rPr>
        <w:t xml:space="preserve"> mit großer Wahrscheinlichkeit dafür Sorge trägt, gute Soziologen zu rekrutieren und auszubilden, gilt das weniger für eine Universität und kaum für das nationale Hochschulsystem. </w:t>
      </w:r>
    </w:p>
    <w:p w14:paraId="5D6CA75A" w14:textId="77777777" w:rsidR="00E72249" w:rsidRPr="00FC055E" w:rsidRDefault="00E72249" w:rsidP="00D00E20">
      <w:pPr>
        <w:spacing w:after="120" w:line="360" w:lineRule="auto"/>
        <w:jc w:val="both"/>
        <w:rPr>
          <w:rFonts w:ascii="Arial" w:hAnsi="Arial" w:cs="Arial"/>
          <w:sz w:val="22"/>
          <w:szCs w:val="22"/>
        </w:rPr>
      </w:pPr>
    </w:p>
    <w:p w14:paraId="2C5D0AC1" w14:textId="77777777" w:rsidR="00842757" w:rsidRPr="00FC055E" w:rsidRDefault="00842757" w:rsidP="00D00E20">
      <w:pPr>
        <w:spacing w:after="120" w:line="360" w:lineRule="auto"/>
        <w:jc w:val="both"/>
        <w:rPr>
          <w:rFonts w:ascii="Arial" w:hAnsi="Arial" w:cs="Arial"/>
          <w:b/>
          <w:sz w:val="22"/>
          <w:szCs w:val="22"/>
        </w:rPr>
      </w:pPr>
      <w:r w:rsidRPr="00FC055E">
        <w:rPr>
          <w:rFonts w:ascii="Arial" w:hAnsi="Arial" w:cs="Arial"/>
          <w:b/>
          <w:i/>
          <w:sz w:val="22"/>
          <w:szCs w:val="22"/>
        </w:rPr>
        <w:t>3.2 Ausführlichkeit und Verbindlichkeit der Kommunikation</w:t>
      </w:r>
      <w:r w:rsidRPr="00FC055E">
        <w:rPr>
          <w:rFonts w:ascii="Arial" w:hAnsi="Arial" w:cs="Arial"/>
          <w:b/>
          <w:sz w:val="22"/>
          <w:szCs w:val="22"/>
        </w:rPr>
        <w:t xml:space="preserve"> </w:t>
      </w:r>
    </w:p>
    <w:p w14:paraId="0872468A" w14:textId="56B49FD2"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Wir haben zusätzlich die konkreten Inhalte der </w:t>
      </w:r>
      <w:r w:rsidR="008203EC" w:rsidRPr="00FC055E">
        <w:rPr>
          <w:rFonts w:ascii="Arial" w:hAnsi="Arial" w:cs="Arial"/>
          <w:sz w:val="22"/>
          <w:szCs w:val="22"/>
        </w:rPr>
        <w:t>Antworte</w:t>
      </w:r>
      <w:r w:rsidR="008203EC">
        <w:rPr>
          <w:rFonts w:ascii="Arial" w:hAnsi="Arial" w:cs="Arial"/>
          <w:sz w:val="22"/>
          <w:szCs w:val="22"/>
        </w:rPr>
        <w:t>mails</w:t>
      </w:r>
      <w:r w:rsidR="008203EC" w:rsidRPr="00FC055E">
        <w:rPr>
          <w:rFonts w:ascii="Arial" w:hAnsi="Arial" w:cs="Arial"/>
          <w:sz w:val="22"/>
          <w:szCs w:val="22"/>
        </w:rPr>
        <w:t xml:space="preserve"> </w:t>
      </w:r>
      <w:r w:rsidRPr="00FC055E">
        <w:rPr>
          <w:rFonts w:ascii="Arial" w:hAnsi="Arial" w:cs="Arial"/>
          <w:sz w:val="22"/>
          <w:szCs w:val="22"/>
        </w:rPr>
        <w:t xml:space="preserve">analysiert, um zu bestimmen, ob mit Bewerbern </w:t>
      </w:r>
      <w:r w:rsidR="00D2656A">
        <w:rPr>
          <w:rFonts w:ascii="Arial" w:hAnsi="Arial" w:cs="Arial"/>
          <w:sz w:val="22"/>
          <w:szCs w:val="22"/>
        </w:rPr>
        <w:t xml:space="preserve">je nach </w:t>
      </w:r>
      <w:r w:rsidR="00CA4055">
        <w:rPr>
          <w:rFonts w:ascii="Arial" w:hAnsi="Arial" w:cs="Arial"/>
          <w:sz w:val="22"/>
          <w:szCs w:val="22"/>
        </w:rPr>
        <w:t xml:space="preserve">symbolischem </w:t>
      </w:r>
      <w:r w:rsidR="00D2656A">
        <w:rPr>
          <w:rFonts w:ascii="Arial" w:hAnsi="Arial" w:cs="Arial"/>
          <w:sz w:val="22"/>
          <w:szCs w:val="22"/>
        </w:rPr>
        <w:t>Herkunft</w:t>
      </w:r>
      <w:r w:rsidR="00CA4055">
        <w:rPr>
          <w:rFonts w:ascii="Arial" w:hAnsi="Arial" w:cs="Arial"/>
          <w:sz w:val="22"/>
          <w:szCs w:val="22"/>
        </w:rPr>
        <w:t>skapital</w:t>
      </w:r>
      <w:r w:rsidRPr="00FC055E">
        <w:rPr>
          <w:rFonts w:ascii="Arial" w:hAnsi="Arial" w:cs="Arial"/>
          <w:sz w:val="22"/>
          <w:szCs w:val="22"/>
        </w:rPr>
        <w:t xml:space="preserve"> anders kommuniziert wird. Da sich die Reputation des Hochschulsystems </w:t>
      </w:r>
      <w:r w:rsidR="004770ED" w:rsidRPr="00FC055E">
        <w:rPr>
          <w:rFonts w:ascii="Arial" w:hAnsi="Arial" w:cs="Arial"/>
          <w:sz w:val="22"/>
          <w:szCs w:val="22"/>
        </w:rPr>
        <w:t xml:space="preserve">als </w:t>
      </w:r>
      <w:r w:rsidRPr="00FC055E">
        <w:rPr>
          <w:rFonts w:ascii="Arial" w:hAnsi="Arial" w:cs="Arial"/>
          <w:sz w:val="22"/>
          <w:szCs w:val="22"/>
        </w:rPr>
        <w:t>entscheidende</w:t>
      </w:r>
      <w:r w:rsidR="004770ED" w:rsidRPr="00FC055E">
        <w:rPr>
          <w:rFonts w:ascii="Arial" w:hAnsi="Arial" w:cs="Arial"/>
          <w:sz w:val="22"/>
          <w:szCs w:val="22"/>
        </w:rPr>
        <w:t>r</w:t>
      </w:r>
      <w:r w:rsidRPr="00FC055E">
        <w:rPr>
          <w:rFonts w:ascii="Arial" w:hAnsi="Arial" w:cs="Arial"/>
          <w:sz w:val="22"/>
          <w:szCs w:val="22"/>
        </w:rPr>
        <w:t xml:space="preserve"> Einflussfaktor </w:t>
      </w:r>
      <w:r w:rsidR="004770ED" w:rsidRPr="00FC055E">
        <w:rPr>
          <w:rFonts w:ascii="Arial" w:hAnsi="Arial" w:cs="Arial"/>
          <w:sz w:val="22"/>
          <w:szCs w:val="22"/>
        </w:rPr>
        <w:t>erwiesen hat</w:t>
      </w:r>
      <w:r w:rsidRPr="00FC055E">
        <w:rPr>
          <w:rFonts w:ascii="Arial" w:hAnsi="Arial" w:cs="Arial"/>
          <w:sz w:val="22"/>
          <w:szCs w:val="22"/>
        </w:rPr>
        <w:t xml:space="preserve">, haben wir </w:t>
      </w:r>
      <w:r w:rsidR="008203EC">
        <w:rPr>
          <w:rFonts w:ascii="Arial" w:hAnsi="Arial" w:cs="Arial"/>
          <w:sz w:val="22"/>
          <w:szCs w:val="22"/>
        </w:rPr>
        <w:t>da</w:t>
      </w:r>
      <w:r w:rsidRPr="00FC055E">
        <w:rPr>
          <w:rFonts w:ascii="Arial" w:hAnsi="Arial" w:cs="Arial"/>
          <w:sz w:val="22"/>
          <w:szCs w:val="22"/>
        </w:rPr>
        <w:t>für die vier Universitäten in zwei Kategorien zusammengefasst</w:t>
      </w:r>
      <w:r w:rsidR="008203EC">
        <w:rPr>
          <w:rFonts w:ascii="Arial" w:hAnsi="Arial" w:cs="Arial"/>
          <w:sz w:val="22"/>
          <w:szCs w:val="22"/>
        </w:rPr>
        <w:t xml:space="preserve"> und vergleichen allein Unterschiede zwischen Antwortemails an amerikanische und asiatische Bewerber</w:t>
      </w:r>
      <w:r w:rsidR="00DB0F00">
        <w:rPr>
          <w:rFonts w:ascii="Arial" w:hAnsi="Arial" w:cs="Arial"/>
          <w:sz w:val="22"/>
          <w:szCs w:val="22"/>
        </w:rPr>
        <w:t xml:space="preserve">. </w:t>
      </w:r>
    </w:p>
    <w:p w14:paraId="2308C6FE" w14:textId="47863510"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Wir vermuten, dass die angeschriebenen Hochschullehrer aufgrund der hierarchischen Gliederung der internationalen Hochschullandschaft, in der das deutsche Hochschulsystem hinter dem amerikanischen, aber vor den verschiedenen asiatischen rangiert, mit Bewerbern aus den USA gleichsam auf Augenhöhe und mit asiatischen Bewerbern „nach unten“ kommunizieren. Um diese Vermutung empirisch zu überprüfen</w:t>
      </w:r>
      <w:r w:rsidR="00E72249">
        <w:rPr>
          <w:rFonts w:ascii="Arial" w:hAnsi="Arial" w:cs="Arial"/>
          <w:sz w:val="22"/>
          <w:szCs w:val="22"/>
        </w:rPr>
        <w:t>, haben wir die Antwortemails hinsichtlich</w:t>
      </w:r>
      <w:r w:rsidRPr="00FC055E">
        <w:rPr>
          <w:rFonts w:ascii="Arial" w:hAnsi="Arial" w:cs="Arial"/>
          <w:sz w:val="22"/>
          <w:szCs w:val="22"/>
        </w:rPr>
        <w:t xml:space="preserve"> zwei</w:t>
      </w:r>
      <w:r w:rsidR="00E72249">
        <w:rPr>
          <w:rFonts w:ascii="Arial" w:hAnsi="Arial" w:cs="Arial"/>
          <w:sz w:val="22"/>
          <w:szCs w:val="22"/>
        </w:rPr>
        <w:t>er</w:t>
      </w:r>
      <w:r w:rsidR="00CD26A8">
        <w:rPr>
          <w:rFonts w:ascii="Arial" w:hAnsi="Arial" w:cs="Arial"/>
          <w:sz w:val="22"/>
          <w:szCs w:val="22"/>
        </w:rPr>
        <w:t xml:space="preserve"> Dimensionen ausgewertet: </w:t>
      </w:r>
      <w:r w:rsidRPr="00FC055E">
        <w:rPr>
          <w:rFonts w:ascii="Arial" w:hAnsi="Arial" w:cs="Arial"/>
          <w:sz w:val="22"/>
          <w:szCs w:val="22"/>
        </w:rPr>
        <w:t xml:space="preserve">Ausführlichkeit und Verbindlichkeit. Um Verzerrungen durch unterschiedliche Ablehnungsquoten bei amerikanischen und asiatischen Bewerbern zu vermeiden, haben wir nur </w:t>
      </w:r>
      <w:r w:rsidR="008203EC">
        <w:rPr>
          <w:rFonts w:ascii="Arial" w:hAnsi="Arial" w:cs="Arial"/>
          <w:sz w:val="22"/>
          <w:szCs w:val="22"/>
        </w:rPr>
        <w:t xml:space="preserve">positive </w:t>
      </w:r>
      <w:r w:rsidRPr="00FC055E">
        <w:rPr>
          <w:rFonts w:ascii="Arial" w:hAnsi="Arial" w:cs="Arial"/>
          <w:sz w:val="22"/>
          <w:szCs w:val="22"/>
        </w:rPr>
        <w:t>Antworten berücksichtigt. Dies reduziert nochmals die Fallzahl, so dass die Befunde mit Vorsicht zu interpretieren sind.</w:t>
      </w:r>
    </w:p>
    <w:p w14:paraId="22C6D438" w14:textId="11661727"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Die </w:t>
      </w:r>
      <w:r w:rsidRPr="00FC055E">
        <w:rPr>
          <w:rFonts w:ascii="Arial" w:hAnsi="Arial" w:cs="Arial"/>
          <w:i/>
          <w:sz w:val="22"/>
          <w:szCs w:val="22"/>
        </w:rPr>
        <w:t xml:space="preserve">Ausführlichkeit </w:t>
      </w:r>
      <w:r w:rsidRPr="00FC055E">
        <w:rPr>
          <w:rFonts w:ascii="Arial" w:hAnsi="Arial" w:cs="Arial"/>
          <w:sz w:val="22"/>
          <w:szCs w:val="22"/>
        </w:rPr>
        <w:t xml:space="preserve">der Kommunikation haben wir über die durchschnittliche Anzahl der Wörter in der Antwortemail </w:t>
      </w:r>
      <w:r w:rsidR="00B3522D">
        <w:rPr>
          <w:rFonts w:ascii="Arial" w:hAnsi="Arial" w:cs="Arial"/>
          <w:sz w:val="22"/>
          <w:szCs w:val="22"/>
        </w:rPr>
        <w:t>und</w:t>
      </w:r>
      <w:r w:rsidRPr="00FC055E">
        <w:rPr>
          <w:rFonts w:ascii="Arial" w:hAnsi="Arial" w:cs="Arial"/>
          <w:sz w:val="22"/>
          <w:szCs w:val="22"/>
        </w:rPr>
        <w:t xml:space="preserve"> über deren Informationsgehalt</w:t>
      </w:r>
      <w:r w:rsidR="00B3522D">
        <w:rPr>
          <w:rFonts w:ascii="Arial" w:hAnsi="Arial" w:cs="Arial"/>
          <w:sz w:val="22"/>
          <w:szCs w:val="22"/>
        </w:rPr>
        <w:t xml:space="preserve"> operationalisiert</w:t>
      </w:r>
      <w:r w:rsidRPr="00FC055E">
        <w:rPr>
          <w:rFonts w:ascii="Arial" w:hAnsi="Arial" w:cs="Arial"/>
          <w:sz w:val="22"/>
          <w:szCs w:val="22"/>
        </w:rPr>
        <w:t xml:space="preserve">. So erwähnen manche Möglichkeiten der Einbindung in eine Graduiertenschule oder Teilnahmemöglichkeiten an Kolloquien; andere explizieren, welche Infrastruktur an der Universität zur Verfügung steht oder </w:t>
      </w:r>
      <w:r w:rsidRPr="00FC055E">
        <w:rPr>
          <w:rFonts w:ascii="Arial" w:hAnsi="Arial" w:cs="Arial"/>
          <w:sz w:val="22"/>
          <w:szCs w:val="22"/>
        </w:rPr>
        <w:lastRenderedPageBreak/>
        <w:t xml:space="preserve">bieten an, Kontakte </w:t>
      </w:r>
      <w:r w:rsidR="00B3522D">
        <w:rPr>
          <w:rFonts w:ascii="Arial" w:hAnsi="Arial" w:cs="Arial"/>
          <w:sz w:val="22"/>
          <w:szCs w:val="22"/>
        </w:rPr>
        <w:t>zu anderen</w:t>
      </w:r>
      <w:r w:rsidR="00B3522D" w:rsidRPr="00FC055E">
        <w:rPr>
          <w:rFonts w:ascii="Arial" w:hAnsi="Arial" w:cs="Arial"/>
          <w:sz w:val="22"/>
          <w:szCs w:val="22"/>
        </w:rPr>
        <w:t xml:space="preserve"> </w:t>
      </w:r>
      <w:r w:rsidRPr="00FC055E">
        <w:rPr>
          <w:rFonts w:ascii="Arial" w:hAnsi="Arial" w:cs="Arial"/>
          <w:sz w:val="22"/>
          <w:szCs w:val="22"/>
        </w:rPr>
        <w:t xml:space="preserve">Professoren in Deutschland herzustellen. Eine Antwort wurde mit „1“ kodiert, wenn sie eine der eben genannten Informationen enthält, </w:t>
      </w:r>
      <w:r w:rsidR="00A11C54">
        <w:rPr>
          <w:rFonts w:ascii="Arial" w:hAnsi="Arial" w:cs="Arial"/>
          <w:sz w:val="22"/>
          <w:szCs w:val="22"/>
        </w:rPr>
        <w:t>andernfalls</w:t>
      </w:r>
      <w:r w:rsidRPr="00FC055E">
        <w:rPr>
          <w:rFonts w:ascii="Arial" w:hAnsi="Arial" w:cs="Arial"/>
          <w:sz w:val="22"/>
          <w:szCs w:val="22"/>
        </w:rPr>
        <w:t xml:space="preserve"> mit „0“</w:t>
      </w:r>
      <w:r w:rsidR="00B240B6">
        <w:rPr>
          <w:rFonts w:ascii="Arial" w:hAnsi="Arial" w:cs="Arial"/>
          <w:sz w:val="22"/>
          <w:szCs w:val="22"/>
        </w:rPr>
        <w:t>.</w:t>
      </w:r>
    </w:p>
    <w:p w14:paraId="40C828EF" w14:textId="337C395F"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Die </w:t>
      </w:r>
      <w:r w:rsidRPr="00FC055E">
        <w:rPr>
          <w:rFonts w:ascii="Arial" w:hAnsi="Arial" w:cs="Arial"/>
          <w:i/>
          <w:sz w:val="22"/>
          <w:szCs w:val="22"/>
        </w:rPr>
        <w:t>Verbindlichkeit</w:t>
      </w:r>
      <w:r w:rsidRPr="00FC055E">
        <w:rPr>
          <w:rFonts w:ascii="Arial" w:hAnsi="Arial" w:cs="Arial"/>
          <w:sz w:val="22"/>
          <w:szCs w:val="22"/>
        </w:rPr>
        <w:t xml:space="preserve"> der Kommunikation gibt an, inwieweit sich ein Hochschullehrer auf das Anliegen des Doktoranden einlässt oder eher eine distanzierte Haltung einnimmt. </w:t>
      </w:r>
      <w:r w:rsidR="001213EE">
        <w:rPr>
          <w:rFonts w:ascii="Arial" w:hAnsi="Arial" w:cs="Arial"/>
          <w:sz w:val="22"/>
          <w:szCs w:val="22"/>
        </w:rPr>
        <w:t>Sie</w:t>
      </w:r>
      <w:r w:rsidRPr="00FC055E">
        <w:rPr>
          <w:rFonts w:ascii="Arial" w:hAnsi="Arial" w:cs="Arial"/>
          <w:sz w:val="22"/>
          <w:szCs w:val="22"/>
        </w:rPr>
        <w:t xml:space="preserve"> wurde durch zwei Variablen operationalisiert. Zum einen nutzen die angeschriebenen Professoren in unterschiedlichem Maße Wörter und Formulierungen, die persönliches Interesse oder emotionale Begeisterung für das Ansinnen des Bewerbers zum Ausdruck bringen, z.B. „</w:t>
      </w:r>
      <w:proofErr w:type="spellStart"/>
      <w:r w:rsidRPr="00FC055E">
        <w:rPr>
          <w:rFonts w:ascii="Arial" w:hAnsi="Arial" w:cs="Arial"/>
          <w:i/>
          <w:sz w:val="22"/>
          <w:szCs w:val="22"/>
        </w:rPr>
        <w:t>this</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sounds</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very</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interesting</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please</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tell</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me</w:t>
      </w:r>
      <w:proofErr w:type="spellEnd"/>
      <w:r w:rsidRPr="00FC055E">
        <w:rPr>
          <w:rFonts w:ascii="Arial" w:hAnsi="Arial" w:cs="Arial"/>
          <w:i/>
          <w:sz w:val="22"/>
          <w:szCs w:val="22"/>
        </w:rPr>
        <w:t xml:space="preserve"> </w:t>
      </w:r>
      <w:proofErr w:type="spellStart"/>
      <w:r w:rsidRPr="00FC055E">
        <w:rPr>
          <w:rFonts w:ascii="Arial" w:hAnsi="Arial" w:cs="Arial"/>
          <w:i/>
          <w:sz w:val="22"/>
          <w:szCs w:val="22"/>
        </w:rPr>
        <w:t>more</w:t>
      </w:r>
      <w:proofErr w:type="spellEnd"/>
      <w:r w:rsidRPr="00FC055E">
        <w:rPr>
          <w:rFonts w:ascii="Arial" w:hAnsi="Arial" w:cs="Arial"/>
          <w:sz w:val="22"/>
          <w:szCs w:val="22"/>
        </w:rPr>
        <w:t>“. Zweitens reden manche Hochschullehrer die Doktoranden mit ihrem Vornamen an. Hierdurch wird eine Atmosphäre der Informalität, Kollegialität und der per</w:t>
      </w:r>
      <w:r w:rsidR="001B305C">
        <w:rPr>
          <w:rFonts w:ascii="Arial" w:hAnsi="Arial" w:cs="Arial"/>
          <w:sz w:val="22"/>
          <w:szCs w:val="22"/>
        </w:rPr>
        <w:t xml:space="preserve">sönlichen Zuwendung geschaffen. Auch hier gilt, dass eine Antwort mit „1“ kodiert wurde, wenn sie jeweils eines der genannten Elemente enthält, </w:t>
      </w:r>
      <w:r w:rsidR="00A936A3">
        <w:rPr>
          <w:rFonts w:ascii="Arial" w:hAnsi="Arial" w:cs="Arial"/>
          <w:sz w:val="22"/>
          <w:szCs w:val="22"/>
        </w:rPr>
        <w:t>an</w:t>
      </w:r>
      <w:r w:rsidR="001B305C">
        <w:rPr>
          <w:rFonts w:ascii="Arial" w:hAnsi="Arial" w:cs="Arial"/>
          <w:sz w:val="22"/>
          <w:szCs w:val="22"/>
        </w:rPr>
        <w:t>sonst</w:t>
      </w:r>
      <w:r w:rsidR="00A936A3">
        <w:rPr>
          <w:rFonts w:ascii="Arial" w:hAnsi="Arial" w:cs="Arial"/>
          <w:sz w:val="22"/>
          <w:szCs w:val="22"/>
        </w:rPr>
        <w:t>en</w:t>
      </w:r>
      <w:r w:rsidR="001B305C">
        <w:rPr>
          <w:rFonts w:ascii="Arial" w:hAnsi="Arial" w:cs="Arial"/>
          <w:sz w:val="22"/>
          <w:szCs w:val="22"/>
        </w:rPr>
        <w:t xml:space="preserve"> mit „0“.</w:t>
      </w:r>
    </w:p>
    <w:p w14:paraId="59D72254" w14:textId="36951F81" w:rsidR="00842757" w:rsidRDefault="00A3526C" w:rsidP="00D00E20">
      <w:pPr>
        <w:spacing w:after="120" w:line="360" w:lineRule="auto"/>
        <w:jc w:val="both"/>
        <w:rPr>
          <w:rFonts w:ascii="Arial" w:hAnsi="Arial" w:cs="Arial"/>
          <w:sz w:val="22"/>
          <w:szCs w:val="22"/>
        </w:rPr>
      </w:pPr>
      <w:r>
        <w:rPr>
          <w:rFonts w:ascii="Arial" w:hAnsi="Arial" w:cs="Arial"/>
          <w:sz w:val="22"/>
          <w:szCs w:val="22"/>
        </w:rPr>
        <w:t xml:space="preserve">Wie die Ergebnisse der </w:t>
      </w:r>
      <w:r w:rsidR="00842757" w:rsidRPr="00FC055E">
        <w:rPr>
          <w:rFonts w:ascii="Arial" w:hAnsi="Arial" w:cs="Arial"/>
          <w:sz w:val="22"/>
          <w:szCs w:val="22"/>
        </w:rPr>
        <w:t>Tabelle 3 zeig</w:t>
      </w:r>
      <w:r>
        <w:rPr>
          <w:rFonts w:ascii="Arial" w:hAnsi="Arial" w:cs="Arial"/>
          <w:sz w:val="22"/>
          <w:szCs w:val="22"/>
        </w:rPr>
        <w:t>en</w:t>
      </w:r>
      <w:r w:rsidR="00842757" w:rsidRPr="00FC055E">
        <w:rPr>
          <w:rFonts w:ascii="Arial" w:hAnsi="Arial" w:cs="Arial"/>
          <w:sz w:val="22"/>
          <w:szCs w:val="22"/>
        </w:rPr>
        <w:t xml:space="preserve">, sind die Antworten an amerikanische Absender im Durchschnitt etwa fünf Wörter und damit etwa einen Satz länger als an asiatische, dieser Unterschied ist aber statistisch nicht signifikant. </w:t>
      </w:r>
      <w:r>
        <w:rPr>
          <w:rFonts w:ascii="Arial" w:hAnsi="Arial" w:cs="Arial"/>
          <w:sz w:val="22"/>
          <w:szCs w:val="22"/>
        </w:rPr>
        <w:t>K</w:t>
      </w:r>
      <w:r w:rsidR="00842757" w:rsidRPr="00FC055E">
        <w:rPr>
          <w:rFonts w:ascii="Arial" w:hAnsi="Arial" w:cs="Arial"/>
          <w:sz w:val="22"/>
          <w:szCs w:val="22"/>
        </w:rPr>
        <w:t xml:space="preserve">napp 14% der amerikanischen Doktoranden, die eine positive Rückmeldung bekommen, </w:t>
      </w:r>
      <w:r>
        <w:rPr>
          <w:rFonts w:ascii="Arial" w:hAnsi="Arial" w:cs="Arial"/>
          <w:sz w:val="22"/>
          <w:szCs w:val="22"/>
        </w:rPr>
        <w:t xml:space="preserve">erhalten </w:t>
      </w:r>
      <w:r w:rsidR="00842757" w:rsidRPr="00FC055E">
        <w:rPr>
          <w:rFonts w:ascii="Arial" w:hAnsi="Arial" w:cs="Arial"/>
          <w:sz w:val="22"/>
          <w:szCs w:val="22"/>
        </w:rPr>
        <w:t xml:space="preserve">zusätzliche Informationen zur Betreuung, aber nur </w:t>
      </w:r>
      <w:r w:rsidR="00BB79A2">
        <w:rPr>
          <w:rFonts w:ascii="Arial" w:hAnsi="Arial" w:cs="Arial"/>
          <w:sz w:val="22"/>
          <w:szCs w:val="22"/>
        </w:rPr>
        <w:t>5% der asiatischen Doktoranden.</w:t>
      </w:r>
    </w:p>
    <w:p w14:paraId="11E663C5" w14:textId="77777777" w:rsidR="00BB79A2" w:rsidRPr="00FC055E" w:rsidRDefault="00BB79A2" w:rsidP="00D00E20">
      <w:pPr>
        <w:spacing w:after="120" w:line="360" w:lineRule="auto"/>
        <w:jc w:val="both"/>
        <w:rPr>
          <w:rFonts w:ascii="Arial" w:hAnsi="Arial" w:cs="Arial"/>
          <w:sz w:val="22"/>
          <w:szCs w:val="22"/>
        </w:rPr>
      </w:pPr>
    </w:p>
    <w:p w14:paraId="2D4CD1A0" w14:textId="77777777" w:rsidR="00842757" w:rsidRPr="00FC055E" w:rsidRDefault="00842757" w:rsidP="00106AE6">
      <w:pPr>
        <w:spacing w:after="160" w:line="360" w:lineRule="auto"/>
        <w:jc w:val="both"/>
        <w:rPr>
          <w:rFonts w:ascii="Arial" w:hAnsi="Arial" w:cs="Arial"/>
          <w:sz w:val="22"/>
          <w:szCs w:val="22"/>
        </w:rPr>
      </w:pPr>
      <w:r w:rsidRPr="00FC055E">
        <w:rPr>
          <w:rFonts w:ascii="Arial" w:hAnsi="Arial" w:cs="Arial"/>
          <w:b/>
          <w:sz w:val="22"/>
          <w:szCs w:val="22"/>
        </w:rPr>
        <w:t xml:space="preserve">Tabelle 3: </w:t>
      </w:r>
      <w:r w:rsidRPr="00FC055E">
        <w:rPr>
          <w:rFonts w:ascii="Arial" w:hAnsi="Arial" w:cs="Arial"/>
          <w:sz w:val="22"/>
          <w:szCs w:val="22"/>
        </w:rPr>
        <w:t xml:space="preserve">Ausführlichkeit und Verbindlichkeit positiver </w:t>
      </w:r>
      <w:proofErr w:type="gramStart"/>
      <w:r w:rsidRPr="00FC055E">
        <w:rPr>
          <w:rFonts w:ascii="Arial" w:hAnsi="Arial" w:cs="Arial"/>
          <w:sz w:val="22"/>
          <w:szCs w:val="22"/>
        </w:rPr>
        <w:t>Rückantworten</w:t>
      </w:r>
      <w:proofErr w:type="gramEnd"/>
      <w:r w:rsidRPr="00FC055E">
        <w:rPr>
          <w:rFonts w:ascii="Arial" w:hAnsi="Arial" w:cs="Arial"/>
          <w:sz w:val="22"/>
          <w:szCs w:val="22"/>
        </w:rPr>
        <w:t xml:space="preserve"> nach Herkunft</w:t>
      </w:r>
    </w:p>
    <w:tbl>
      <w:tblPr>
        <w:tblW w:w="9354" w:type="dxa"/>
        <w:tblBorders>
          <w:top w:val="single" w:sz="4" w:space="0" w:color="auto"/>
          <w:bottom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2296"/>
        <w:gridCol w:w="1417"/>
        <w:gridCol w:w="2097"/>
        <w:gridCol w:w="1843"/>
        <w:gridCol w:w="1701"/>
      </w:tblGrid>
      <w:tr w:rsidR="00842757" w:rsidRPr="00F3040E" w14:paraId="05477A87" w14:textId="77777777" w:rsidTr="00106AE6">
        <w:tc>
          <w:tcPr>
            <w:tcW w:w="2296" w:type="dxa"/>
            <w:tcBorders>
              <w:top w:val="single" w:sz="4" w:space="0" w:color="auto"/>
            </w:tcBorders>
          </w:tcPr>
          <w:p w14:paraId="7712AA2F" w14:textId="77777777" w:rsidR="00842757" w:rsidRPr="00FC055E" w:rsidRDefault="00842757" w:rsidP="005E5C9C">
            <w:pPr>
              <w:rPr>
                <w:rFonts w:ascii="Arial" w:hAnsi="Arial" w:cs="Arial"/>
                <w:sz w:val="22"/>
                <w:szCs w:val="22"/>
              </w:rPr>
            </w:pPr>
          </w:p>
        </w:tc>
        <w:tc>
          <w:tcPr>
            <w:tcW w:w="3514" w:type="dxa"/>
            <w:gridSpan w:val="2"/>
            <w:tcBorders>
              <w:top w:val="single" w:sz="4" w:space="0" w:color="auto"/>
            </w:tcBorders>
          </w:tcPr>
          <w:p w14:paraId="2217BCB8" w14:textId="77777777" w:rsidR="00842757" w:rsidRPr="00FC055E" w:rsidRDefault="00842757" w:rsidP="007D4AB0">
            <w:pPr>
              <w:rPr>
                <w:rFonts w:ascii="Arial" w:hAnsi="Arial" w:cs="Arial"/>
                <w:b/>
                <w:sz w:val="22"/>
                <w:szCs w:val="22"/>
              </w:rPr>
            </w:pPr>
            <w:r w:rsidRPr="00FC055E">
              <w:rPr>
                <w:rFonts w:ascii="Arial" w:hAnsi="Arial" w:cs="Arial"/>
                <w:b/>
                <w:sz w:val="22"/>
                <w:szCs w:val="22"/>
              </w:rPr>
              <w:t>Ausführlichkeit der Antwort</w:t>
            </w:r>
          </w:p>
        </w:tc>
        <w:tc>
          <w:tcPr>
            <w:tcW w:w="3544" w:type="dxa"/>
            <w:gridSpan w:val="2"/>
            <w:tcBorders>
              <w:top w:val="single" w:sz="4" w:space="0" w:color="auto"/>
            </w:tcBorders>
          </w:tcPr>
          <w:p w14:paraId="03AFAB33" w14:textId="77777777" w:rsidR="00842757" w:rsidRPr="00FC055E" w:rsidRDefault="00842757" w:rsidP="007D4AB0">
            <w:pPr>
              <w:rPr>
                <w:rFonts w:ascii="Arial" w:hAnsi="Arial" w:cs="Arial"/>
                <w:b/>
                <w:sz w:val="22"/>
                <w:szCs w:val="22"/>
              </w:rPr>
            </w:pPr>
            <w:r w:rsidRPr="00FC055E">
              <w:rPr>
                <w:rFonts w:ascii="Arial" w:hAnsi="Arial" w:cs="Arial"/>
                <w:b/>
                <w:sz w:val="22"/>
                <w:szCs w:val="22"/>
              </w:rPr>
              <w:t>Verbindlichkeit der Antwort</w:t>
            </w:r>
          </w:p>
        </w:tc>
      </w:tr>
      <w:tr w:rsidR="00842757" w:rsidRPr="00F3040E" w14:paraId="4B59772C" w14:textId="77777777" w:rsidTr="00106AE6">
        <w:tc>
          <w:tcPr>
            <w:tcW w:w="2296" w:type="dxa"/>
            <w:tcBorders>
              <w:bottom w:val="single" w:sz="4" w:space="0" w:color="auto"/>
            </w:tcBorders>
          </w:tcPr>
          <w:p w14:paraId="22344CF5" w14:textId="77777777" w:rsidR="00842757" w:rsidRPr="00FC055E" w:rsidRDefault="00842757" w:rsidP="005E5C9C">
            <w:pPr>
              <w:rPr>
                <w:rFonts w:ascii="Arial" w:hAnsi="Arial" w:cs="Arial"/>
                <w:sz w:val="22"/>
                <w:szCs w:val="22"/>
              </w:rPr>
            </w:pPr>
          </w:p>
        </w:tc>
        <w:tc>
          <w:tcPr>
            <w:tcW w:w="1417" w:type="dxa"/>
            <w:tcBorders>
              <w:bottom w:val="single" w:sz="4" w:space="0" w:color="auto"/>
            </w:tcBorders>
          </w:tcPr>
          <w:p w14:paraId="4B792A85" w14:textId="77777777" w:rsidR="00842757" w:rsidRPr="00FC055E" w:rsidRDefault="00842757" w:rsidP="005E5C9C">
            <w:pPr>
              <w:rPr>
                <w:rFonts w:ascii="Arial" w:hAnsi="Arial" w:cs="Arial"/>
                <w:sz w:val="22"/>
                <w:szCs w:val="22"/>
              </w:rPr>
            </w:pPr>
            <w:r w:rsidRPr="00FC055E">
              <w:rPr>
                <w:rFonts w:ascii="Arial" w:hAnsi="Arial" w:cs="Arial"/>
                <w:sz w:val="22"/>
                <w:szCs w:val="22"/>
              </w:rPr>
              <w:t xml:space="preserve">Durch-schnittliche Wortzahl </w:t>
            </w:r>
          </w:p>
        </w:tc>
        <w:tc>
          <w:tcPr>
            <w:tcW w:w="2097" w:type="dxa"/>
            <w:tcBorders>
              <w:bottom w:val="single" w:sz="4" w:space="0" w:color="auto"/>
            </w:tcBorders>
          </w:tcPr>
          <w:p w14:paraId="02611027" w14:textId="77777777" w:rsidR="00842757" w:rsidRPr="00FC055E" w:rsidRDefault="00842757" w:rsidP="005E5C9C">
            <w:pPr>
              <w:rPr>
                <w:rFonts w:ascii="Arial" w:hAnsi="Arial" w:cs="Arial"/>
                <w:sz w:val="22"/>
                <w:szCs w:val="22"/>
              </w:rPr>
            </w:pPr>
            <w:r w:rsidRPr="00FC055E">
              <w:rPr>
                <w:rFonts w:ascii="Arial" w:hAnsi="Arial" w:cs="Arial"/>
                <w:sz w:val="22"/>
                <w:szCs w:val="22"/>
              </w:rPr>
              <w:t xml:space="preserve">Anteil mit </w:t>
            </w:r>
          </w:p>
          <w:p w14:paraId="60B567DB" w14:textId="77777777" w:rsidR="00842757" w:rsidRPr="00FC055E" w:rsidRDefault="00842757" w:rsidP="005E5C9C">
            <w:pPr>
              <w:rPr>
                <w:rFonts w:ascii="Arial" w:hAnsi="Arial" w:cs="Arial"/>
                <w:sz w:val="22"/>
                <w:szCs w:val="22"/>
              </w:rPr>
            </w:pPr>
            <w:r w:rsidRPr="00FC055E">
              <w:rPr>
                <w:rFonts w:ascii="Arial" w:hAnsi="Arial" w:cs="Arial"/>
                <w:sz w:val="22"/>
                <w:szCs w:val="22"/>
              </w:rPr>
              <w:t>Zusatz-informationen</w:t>
            </w:r>
          </w:p>
        </w:tc>
        <w:tc>
          <w:tcPr>
            <w:tcW w:w="1843" w:type="dxa"/>
            <w:tcBorders>
              <w:bottom w:val="single" w:sz="4" w:space="0" w:color="auto"/>
            </w:tcBorders>
          </w:tcPr>
          <w:p w14:paraId="2A5E258A" w14:textId="77777777" w:rsidR="00842757" w:rsidRPr="00FC055E" w:rsidRDefault="00842757" w:rsidP="005E5C9C">
            <w:pPr>
              <w:rPr>
                <w:rFonts w:ascii="Arial" w:hAnsi="Arial" w:cs="Arial"/>
                <w:sz w:val="22"/>
                <w:szCs w:val="22"/>
              </w:rPr>
            </w:pPr>
            <w:r w:rsidRPr="00FC055E">
              <w:rPr>
                <w:rFonts w:ascii="Arial" w:hAnsi="Arial" w:cs="Arial"/>
                <w:sz w:val="22"/>
                <w:szCs w:val="22"/>
              </w:rPr>
              <w:t>Anteil mit Emo-</w:t>
            </w:r>
            <w:proofErr w:type="spellStart"/>
            <w:r w:rsidRPr="00FC055E">
              <w:rPr>
                <w:rFonts w:ascii="Arial" w:hAnsi="Arial" w:cs="Arial"/>
                <w:sz w:val="22"/>
                <w:szCs w:val="22"/>
              </w:rPr>
              <w:t>tions</w:t>
            </w:r>
            <w:proofErr w:type="spellEnd"/>
            <w:r w:rsidRPr="00FC055E">
              <w:rPr>
                <w:rFonts w:ascii="Arial" w:hAnsi="Arial" w:cs="Arial"/>
                <w:sz w:val="22"/>
                <w:szCs w:val="22"/>
              </w:rPr>
              <w:t>- / Interess-</w:t>
            </w:r>
            <w:proofErr w:type="spellStart"/>
            <w:r w:rsidRPr="00FC055E">
              <w:rPr>
                <w:rFonts w:ascii="Arial" w:hAnsi="Arial" w:cs="Arial"/>
                <w:sz w:val="22"/>
                <w:szCs w:val="22"/>
              </w:rPr>
              <w:t>ensbekundung</w:t>
            </w:r>
            <w:proofErr w:type="spellEnd"/>
          </w:p>
        </w:tc>
        <w:tc>
          <w:tcPr>
            <w:tcW w:w="1701" w:type="dxa"/>
            <w:tcBorders>
              <w:bottom w:val="single" w:sz="4" w:space="0" w:color="auto"/>
            </w:tcBorders>
          </w:tcPr>
          <w:p w14:paraId="78D2D59A" w14:textId="77777777" w:rsidR="00842757" w:rsidRPr="00FC055E" w:rsidRDefault="00842757" w:rsidP="005E5C9C">
            <w:pPr>
              <w:rPr>
                <w:rFonts w:ascii="Arial" w:hAnsi="Arial" w:cs="Arial"/>
                <w:sz w:val="22"/>
                <w:szCs w:val="22"/>
              </w:rPr>
            </w:pPr>
            <w:r w:rsidRPr="00FC055E">
              <w:rPr>
                <w:rFonts w:ascii="Arial" w:hAnsi="Arial" w:cs="Arial"/>
                <w:sz w:val="22"/>
                <w:szCs w:val="22"/>
              </w:rPr>
              <w:t>Anteil mit Vornamen als Anrede</w:t>
            </w:r>
          </w:p>
        </w:tc>
      </w:tr>
      <w:tr w:rsidR="00842757" w:rsidRPr="00F3040E" w14:paraId="677922F0" w14:textId="77777777" w:rsidTr="00106AE6">
        <w:tc>
          <w:tcPr>
            <w:tcW w:w="2296" w:type="dxa"/>
            <w:tcBorders>
              <w:top w:val="single" w:sz="4" w:space="0" w:color="auto"/>
              <w:bottom w:val="nil"/>
            </w:tcBorders>
          </w:tcPr>
          <w:p w14:paraId="423DA123" w14:textId="77777777" w:rsidR="00842757" w:rsidRPr="00FC055E" w:rsidRDefault="00842757" w:rsidP="005E5C9C">
            <w:pPr>
              <w:rPr>
                <w:rFonts w:ascii="Arial" w:hAnsi="Arial" w:cs="Arial"/>
                <w:sz w:val="22"/>
                <w:szCs w:val="22"/>
              </w:rPr>
            </w:pPr>
            <w:r w:rsidRPr="00FC055E">
              <w:rPr>
                <w:rFonts w:ascii="Arial" w:hAnsi="Arial" w:cs="Arial"/>
                <w:b/>
                <w:sz w:val="22"/>
                <w:szCs w:val="22"/>
              </w:rPr>
              <w:t>USA</w:t>
            </w:r>
            <w:r w:rsidRPr="00FC055E">
              <w:rPr>
                <w:rFonts w:ascii="Arial" w:hAnsi="Arial" w:cs="Arial"/>
                <w:sz w:val="22"/>
                <w:szCs w:val="22"/>
              </w:rPr>
              <w:t xml:space="preserve"> (N = 94)</w:t>
            </w:r>
          </w:p>
        </w:tc>
        <w:tc>
          <w:tcPr>
            <w:tcW w:w="1417" w:type="dxa"/>
            <w:tcBorders>
              <w:top w:val="single" w:sz="4" w:space="0" w:color="auto"/>
              <w:bottom w:val="nil"/>
            </w:tcBorders>
          </w:tcPr>
          <w:p w14:paraId="515B8080" w14:textId="77777777" w:rsidR="00842757" w:rsidRPr="00FC055E" w:rsidRDefault="00842757" w:rsidP="005E5C9C">
            <w:pPr>
              <w:rPr>
                <w:rFonts w:ascii="Arial" w:hAnsi="Arial" w:cs="Arial"/>
                <w:sz w:val="22"/>
                <w:szCs w:val="22"/>
              </w:rPr>
            </w:pPr>
            <w:r w:rsidRPr="00FC055E">
              <w:rPr>
                <w:rFonts w:ascii="Arial" w:hAnsi="Arial" w:cs="Arial"/>
                <w:sz w:val="22"/>
                <w:szCs w:val="22"/>
              </w:rPr>
              <w:t>59,1</w:t>
            </w:r>
          </w:p>
        </w:tc>
        <w:tc>
          <w:tcPr>
            <w:tcW w:w="2097" w:type="dxa"/>
            <w:tcBorders>
              <w:top w:val="single" w:sz="4" w:space="0" w:color="auto"/>
              <w:bottom w:val="nil"/>
            </w:tcBorders>
          </w:tcPr>
          <w:p w14:paraId="3E5D7E99" w14:textId="77777777" w:rsidR="00842757" w:rsidRPr="00FC055E" w:rsidRDefault="00CD26A8" w:rsidP="005E5C9C">
            <w:pPr>
              <w:rPr>
                <w:rFonts w:ascii="Arial" w:hAnsi="Arial" w:cs="Arial"/>
                <w:sz w:val="22"/>
                <w:szCs w:val="22"/>
              </w:rPr>
            </w:pPr>
            <w:r>
              <w:rPr>
                <w:rFonts w:ascii="Arial" w:hAnsi="Arial" w:cs="Arial"/>
                <w:sz w:val="22"/>
                <w:szCs w:val="22"/>
              </w:rPr>
              <w:t>13,8</w:t>
            </w:r>
            <w:r w:rsidR="00842757" w:rsidRPr="00FC055E">
              <w:rPr>
                <w:rFonts w:ascii="Arial" w:hAnsi="Arial" w:cs="Arial"/>
                <w:sz w:val="22"/>
                <w:szCs w:val="22"/>
              </w:rPr>
              <w:t>%</w:t>
            </w:r>
          </w:p>
        </w:tc>
        <w:tc>
          <w:tcPr>
            <w:tcW w:w="1843" w:type="dxa"/>
            <w:tcBorders>
              <w:top w:val="single" w:sz="4" w:space="0" w:color="auto"/>
              <w:bottom w:val="nil"/>
            </w:tcBorders>
          </w:tcPr>
          <w:p w14:paraId="23CE9417" w14:textId="77777777" w:rsidR="00842757" w:rsidRPr="00FC055E" w:rsidRDefault="00CD26A8" w:rsidP="005E5C9C">
            <w:pPr>
              <w:rPr>
                <w:rFonts w:ascii="Arial" w:hAnsi="Arial" w:cs="Arial"/>
                <w:sz w:val="22"/>
                <w:szCs w:val="22"/>
              </w:rPr>
            </w:pPr>
            <w:r>
              <w:rPr>
                <w:rFonts w:ascii="Arial" w:hAnsi="Arial" w:cs="Arial"/>
                <w:sz w:val="22"/>
                <w:szCs w:val="22"/>
              </w:rPr>
              <w:t>28,7</w:t>
            </w:r>
            <w:r w:rsidR="00842757" w:rsidRPr="00FC055E">
              <w:rPr>
                <w:rFonts w:ascii="Arial" w:hAnsi="Arial" w:cs="Arial"/>
                <w:sz w:val="22"/>
                <w:szCs w:val="22"/>
              </w:rPr>
              <w:t>%</w:t>
            </w:r>
          </w:p>
        </w:tc>
        <w:tc>
          <w:tcPr>
            <w:tcW w:w="1701" w:type="dxa"/>
            <w:tcBorders>
              <w:top w:val="single" w:sz="4" w:space="0" w:color="auto"/>
              <w:bottom w:val="nil"/>
            </w:tcBorders>
          </w:tcPr>
          <w:p w14:paraId="47140E65" w14:textId="77777777" w:rsidR="00842757" w:rsidRPr="00FC055E" w:rsidRDefault="00CD26A8" w:rsidP="005E5C9C">
            <w:pPr>
              <w:rPr>
                <w:rFonts w:ascii="Arial" w:hAnsi="Arial" w:cs="Arial"/>
                <w:sz w:val="22"/>
                <w:szCs w:val="22"/>
              </w:rPr>
            </w:pPr>
            <w:r>
              <w:rPr>
                <w:rFonts w:ascii="Arial" w:hAnsi="Arial" w:cs="Arial"/>
                <w:sz w:val="22"/>
                <w:szCs w:val="22"/>
              </w:rPr>
              <w:t>40,4</w:t>
            </w:r>
            <w:r w:rsidR="00842757" w:rsidRPr="00FC055E">
              <w:rPr>
                <w:rFonts w:ascii="Arial" w:hAnsi="Arial" w:cs="Arial"/>
                <w:sz w:val="22"/>
                <w:szCs w:val="22"/>
              </w:rPr>
              <w:t>%</w:t>
            </w:r>
          </w:p>
        </w:tc>
      </w:tr>
      <w:tr w:rsidR="00842757" w:rsidRPr="00F3040E" w14:paraId="711CB95A" w14:textId="77777777" w:rsidTr="00106AE6">
        <w:tc>
          <w:tcPr>
            <w:tcW w:w="2296" w:type="dxa"/>
            <w:tcBorders>
              <w:top w:val="nil"/>
              <w:bottom w:val="single" w:sz="4" w:space="0" w:color="auto"/>
            </w:tcBorders>
          </w:tcPr>
          <w:p w14:paraId="2D3E40C2" w14:textId="77777777" w:rsidR="00842757" w:rsidRPr="00FC055E" w:rsidRDefault="00842757" w:rsidP="005E5C9C">
            <w:pPr>
              <w:rPr>
                <w:rFonts w:ascii="Arial" w:hAnsi="Arial" w:cs="Arial"/>
                <w:sz w:val="22"/>
                <w:szCs w:val="22"/>
              </w:rPr>
            </w:pPr>
            <w:r w:rsidRPr="00FC055E">
              <w:rPr>
                <w:rFonts w:ascii="Arial" w:hAnsi="Arial" w:cs="Arial"/>
                <w:b/>
                <w:sz w:val="22"/>
                <w:szCs w:val="22"/>
              </w:rPr>
              <w:t>Asien</w:t>
            </w:r>
            <w:r w:rsidRPr="00FC055E">
              <w:rPr>
                <w:rFonts w:ascii="Arial" w:hAnsi="Arial" w:cs="Arial"/>
                <w:sz w:val="22"/>
                <w:szCs w:val="22"/>
              </w:rPr>
              <w:t xml:space="preserve"> (N = 59)</w:t>
            </w:r>
          </w:p>
        </w:tc>
        <w:tc>
          <w:tcPr>
            <w:tcW w:w="1417" w:type="dxa"/>
            <w:tcBorders>
              <w:top w:val="nil"/>
              <w:bottom w:val="single" w:sz="4" w:space="0" w:color="auto"/>
            </w:tcBorders>
          </w:tcPr>
          <w:p w14:paraId="484717B6" w14:textId="77777777" w:rsidR="00842757" w:rsidRPr="00FC055E" w:rsidRDefault="00842757" w:rsidP="005E5C9C">
            <w:pPr>
              <w:rPr>
                <w:rFonts w:ascii="Arial" w:hAnsi="Arial" w:cs="Arial"/>
                <w:sz w:val="22"/>
                <w:szCs w:val="22"/>
              </w:rPr>
            </w:pPr>
            <w:r w:rsidRPr="00FC055E">
              <w:rPr>
                <w:rFonts w:ascii="Arial" w:hAnsi="Arial" w:cs="Arial"/>
                <w:sz w:val="22"/>
                <w:szCs w:val="22"/>
              </w:rPr>
              <w:t>54,2</w:t>
            </w:r>
          </w:p>
        </w:tc>
        <w:tc>
          <w:tcPr>
            <w:tcW w:w="2097" w:type="dxa"/>
            <w:tcBorders>
              <w:top w:val="nil"/>
              <w:bottom w:val="single" w:sz="4" w:space="0" w:color="auto"/>
            </w:tcBorders>
          </w:tcPr>
          <w:p w14:paraId="6A6574A9" w14:textId="77777777" w:rsidR="00842757" w:rsidRPr="00FC055E" w:rsidRDefault="00CD26A8" w:rsidP="005E5C9C">
            <w:pPr>
              <w:rPr>
                <w:rFonts w:ascii="Arial" w:hAnsi="Arial" w:cs="Arial"/>
                <w:sz w:val="22"/>
                <w:szCs w:val="22"/>
              </w:rPr>
            </w:pPr>
            <w:r>
              <w:rPr>
                <w:rFonts w:ascii="Arial" w:hAnsi="Arial" w:cs="Arial"/>
                <w:sz w:val="22"/>
                <w:szCs w:val="22"/>
              </w:rPr>
              <w:t>5,1</w:t>
            </w:r>
            <w:r w:rsidR="00842757" w:rsidRPr="00FC055E">
              <w:rPr>
                <w:rFonts w:ascii="Arial" w:hAnsi="Arial" w:cs="Arial"/>
                <w:sz w:val="22"/>
                <w:szCs w:val="22"/>
              </w:rPr>
              <w:t>%</w:t>
            </w:r>
          </w:p>
        </w:tc>
        <w:tc>
          <w:tcPr>
            <w:tcW w:w="1843" w:type="dxa"/>
            <w:tcBorders>
              <w:top w:val="nil"/>
              <w:bottom w:val="single" w:sz="4" w:space="0" w:color="auto"/>
            </w:tcBorders>
          </w:tcPr>
          <w:p w14:paraId="5139658A" w14:textId="77777777" w:rsidR="00842757" w:rsidRPr="00FC055E" w:rsidRDefault="00CD26A8" w:rsidP="005E5C9C">
            <w:pPr>
              <w:rPr>
                <w:rFonts w:ascii="Arial" w:hAnsi="Arial" w:cs="Arial"/>
                <w:sz w:val="22"/>
                <w:szCs w:val="22"/>
              </w:rPr>
            </w:pPr>
            <w:r>
              <w:rPr>
                <w:rFonts w:ascii="Arial" w:hAnsi="Arial" w:cs="Arial"/>
                <w:sz w:val="22"/>
                <w:szCs w:val="22"/>
              </w:rPr>
              <w:t>11,9</w:t>
            </w:r>
            <w:r w:rsidR="00842757" w:rsidRPr="00FC055E">
              <w:rPr>
                <w:rFonts w:ascii="Arial" w:hAnsi="Arial" w:cs="Arial"/>
                <w:sz w:val="22"/>
                <w:szCs w:val="22"/>
              </w:rPr>
              <w:t>%</w:t>
            </w:r>
          </w:p>
        </w:tc>
        <w:tc>
          <w:tcPr>
            <w:tcW w:w="1701" w:type="dxa"/>
            <w:tcBorders>
              <w:top w:val="nil"/>
              <w:bottom w:val="single" w:sz="4" w:space="0" w:color="auto"/>
            </w:tcBorders>
          </w:tcPr>
          <w:p w14:paraId="21F9396C" w14:textId="77777777" w:rsidR="00842757" w:rsidRPr="00FC055E" w:rsidRDefault="00CD26A8" w:rsidP="005E5C9C">
            <w:pPr>
              <w:rPr>
                <w:rFonts w:ascii="Arial" w:hAnsi="Arial" w:cs="Arial"/>
                <w:sz w:val="22"/>
                <w:szCs w:val="22"/>
              </w:rPr>
            </w:pPr>
            <w:r>
              <w:rPr>
                <w:rFonts w:ascii="Arial" w:hAnsi="Arial" w:cs="Arial"/>
                <w:sz w:val="22"/>
                <w:szCs w:val="22"/>
              </w:rPr>
              <w:t>18,6</w:t>
            </w:r>
            <w:r w:rsidR="00842757" w:rsidRPr="00FC055E">
              <w:rPr>
                <w:rFonts w:ascii="Arial" w:hAnsi="Arial" w:cs="Arial"/>
                <w:sz w:val="22"/>
                <w:szCs w:val="22"/>
              </w:rPr>
              <w:t>%</w:t>
            </w:r>
          </w:p>
        </w:tc>
      </w:tr>
      <w:tr w:rsidR="00842757" w:rsidRPr="00F3040E" w14:paraId="35C1E5F1" w14:textId="77777777" w:rsidTr="00106AE6">
        <w:tc>
          <w:tcPr>
            <w:tcW w:w="2296" w:type="dxa"/>
            <w:vMerge w:val="restart"/>
            <w:tcBorders>
              <w:top w:val="single" w:sz="4" w:space="0" w:color="auto"/>
            </w:tcBorders>
          </w:tcPr>
          <w:p w14:paraId="75FF98B8" w14:textId="77777777" w:rsidR="00842757" w:rsidRPr="00FC055E" w:rsidRDefault="00842757" w:rsidP="00E17E41">
            <w:pPr>
              <w:rPr>
                <w:rFonts w:ascii="Arial" w:hAnsi="Arial" w:cs="Arial"/>
                <w:b/>
                <w:sz w:val="22"/>
                <w:szCs w:val="22"/>
              </w:rPr>
            </w:pPr>
            <w:r w:rsidRPr="00FC055E">
              <w:rPr>
                <w:rFonts w:ascii="Arial" w:hAnsi="Arial" w:cs="Arial"/>
                <w:b/>
                <w:sz w:val="22"/>
                <w:szCs w:val="22"/>
              </w:rPr>
              <w:t>Zusammenhang / Gruppenunterschied</w:t>
            </w:r>
          </w:p>
        </w:tc>
        <w:tc>
          <w:tcPr>
            <w:tcW w:w="1417" w:type="dxa"/>
            <w:tcBorders>
              <w:top w:val="single" w:sz="4" w:space="0" w:color="auto"/>
            </w:tcBorders>
          </w:tcPr>
          <w:p w14:paraId="6992C1C1" w14:textId="77777777" w:rsidR="00842757" w:rsidRPr="00FC055E" w:rsidRDefault="00842757" w:rsidP="005E5C9C">
            <w:pPr>
              <w:rPr>
                <w:rFonts w:ascii="Arial" w:hAnsi="Arial" w:cs="Arial"/>
                <w:sz w:val="22"/>
                <w:szCs w:val="22"/>
              </w:rPr>
            </w:pPr>
            <w:r w:rsidRPr="00FC055E">
              <w:rPr>
                <w:rFonts w:ascii="Arial" w:hAnsi="Arial" w:cs="Arial"/>
                <w:sz w:val="22"/>
                <w:szCs w:val="22"/>
              </w:rPr>
              <w:t>eta² = 0,004</w:t>
            </w:r>
          </w:p>
        </w:tc>
        <w:tc>
          <w:tcPr>
            <w:tcW w:w="2097" w:type="dxa"/>
            <w:tcBorders>
              <w:top w:val="single" w:sz="4" w:space="0" w:color="auto"/>
            </w:tcBorders>
          </w:tcPr>
          <w:p w14:paraId="3E1FED25" w14:textId="77777777" w:rsidR="00842757" w:rsidRPr="00FC055E" w:rsidRDefault="00842757" w:rsidP="005E5C9C">
            <w:pPr>
              <w:rPr>
                <w:rFonts w:ascii="Arial" w:hAnsi="Arial" w:cs="Arial"/>
                <w:sz w:val="22"/>
                <w:szCs w:val="22"/>
              </w:rPr>
            </w:pPr>
            <w:r w:rsidRPr="00FC055E">
              <w:rPr>
                <w:rFonts w:ascii="Arial" w:hAnsi="Arial" w:cs="Arial"/>
                <w:sz w:val="22"/>
                <w:szCs w:val="22"/>
              </w:rPr>
              <w:t>tau b = 0,14</w:t>
            </w:r>
          </w:p>
        </w:tc>
        <w:tc>
          <w:tcPr>
            <w:tcW w:w="1843" w:type="dxa"/>
            <w:tcBorders>
              <w:top w:val="single" w:sz="4" w:space="0" w:color="auto"/>
            </w:tcBorders>
          </w:tcPr>
          <w:p w14:paraId="69D96AB9" w14:textId="77777777" w:rsidR="00842757" w:rsidRPr="00FC055E" w:rsidRDefault="00842757" w:rsidP="00C85DB8">
            <w:pPr>
              <w:rPr>
                <w:rFonts w:ascii="Arial" w:hAnsi="Arial" w:cs="Arial"/>
                <w:sz w:val="22"/>
                <w:szCs w:val="22"/>
              </w:rPr>
            </w:pPr>
            <w:r w:rsidRPr="00FC055E">
              <w:rPr>
                <w:rFonts w:ascii="Arial" w:hAnsi="Arial" w:cs="Arial"/>
                <w:sz w:val="22"/>
                <w:szCs w:val="22"/>
              </w:rPr>
              <w:t>tau b = 0,20</w:t>
            </w:r>
            <w:r w:rsidRPr="00FC055E">
              <w:rPr>
                <w:rFonts w:ascii="Arial" w:hAnsi="Arial" w:cs="Arial"/>
                <w:sz w:val="22"/>
                <w:szCs w:val="22"/>
                <w:vertAlign w:val="superscript"/>
              </w:rPr>
              <w:t>**</w:t>
            </w:r>
          </w:p>
        </w:tc>
        <w:tc>
          <w:tcPr>
            <w:tcW w:w="1701" w:type="dxa"/>
            <w:tcBorders>
              <w:top w:val="single" w:sz="4" w:space="0" w:color="auto"/>
            </w:tcBorders>
          </w:tcPr>
          <w:p w14:paraId="54E02395" w14:textId="77777777" w:rsidR="00842757" w:rsidRPr="00FC055E" w:rsidRDefault="00842757" w:rsidP="005E5C9C">
            <w:pPr>
              <w:rPr>
                <w:rFonts w:ascii="Arial" w:hAnsi="Arial" w:cs="Arial"/>
                <w:sz w:val="22"/>
                <w:szCs w:val="22"/>
              </w:rPr>
            </w:pPr>
            <w:r w:rsidRPr="00FC055E">
              <w:rPr>
                <w:rFonts w:ascii="Arial" w:hAnsi="Arial" w:cs="Arial"/>
                <w:sz w:val="22"/>
                <w:szCs w:val="22"/>
              </w:rPr>
              <w:t>tau b = 0,23</w:t>
            </w:r>
            <w:r w:rsidRPr="00FC055E">
              <w:rPr>
                <w:rFonts w:ascii="Arial" w:hAnsi="Arial" w:cs="Arial"/>
                <w:sz w:val="22"/>
                <w:szCs w:val="22"/>
                <w:vertAlign w:val="superscript"/>
              </w:rPr>
              <w:t>**</w:t>
            </w:r>
          </w:p>
        </w:tc>
      </w:tr>
      <w:tr w:rsidR="00842757" w:rsidRPr="00F3040E" w14:paraId="38F8105D" w14:textId="77777777" w:rsidTr="00106AE6">
        <w:tc>
          <w:tcPr>
            <w:tcW w:w="2296" w:type="dxa"/>
            <w:vMerge/>
            <w:tcBorders>
              <w:bottom w:val="single" w:sz="4" w:space="0" w:color="auto"/>
            </w:tcBorders>
          </w:tcPr>
          <w:p w14:paraId="6A9F2E15" w14:textId="77777777" w:rsidR="00842757" w:rsidRPr="00FC055E" w:rsidRDefault="00842757" w:rsidP="005E5C9C">
            <w:pPr>
              <w:rPr>
                <w:rFonts w:ascii="Arial" w:hAnsi="Arial" w:cs="Arial"/>
                <w:sz w:val="22"/>
                <w:szCs w:val="22"/>
              </w:rPr>
            </w:pPr>
          </w:p>
        </w:tc>
        <w:tc>
          <w:tcPr>
            <w:tcW w:w="1417" w:type="dxa"/>
            <w:tcBorders>
              <w:bottom w:val="single" w:sz="4" w:space="0" w:color="auto"/>
            </w:tcBorders>
          </w:tcPr>
          <w:p w14:paraId="77B7CC2B" w14:textId="77777777" w:rsidR="00842757" w:rsidRPr="00FC055E" w:rsidRDefault="00842757" w:rsidP="002109A1">
            <w:pPr>
              <w:rPr>
                <w:rFonts w:ascii="Arial" w:hAnsi="Arial" w:cs="Arial"/>
                <w:sz w:val="22"/>
                <w:szCs w:val="22"/>
              </w:rPr>
            </w:pPr>
            <w:r w:rsidRPr="00FC055E">
              <w:rPr>
                <w:rFonts w:ascii="Arial" w:hAnsi="Arial" w:cs="Arial"/>
                <w:sz w:val="22"/>
                <w:szCs w:val="22"/>
              </w:rPr>
              <w:t>t = 0,81</w:t>
            </w:r>
          </w:p>
        </w:tc>
        <w:tc>
          <w:tcPr>
            <w:tcW w:w="2097" w:type="dxa"/>
            <w:tcBorders>
              <w:bottom w:val="single" w:sz="4" w:space="0" w:color="auto"/>
            </w:tcBorders>
          </w:tcPr>
          <w:p w14:paraId="61208714" w14:textId="77777777" w:rsidR="00842757" w:rsidRPr="00FC055E" w:rsidRDefault="00842757" w:rsidP="005E5C9C">
            <w:pPr>
              <w:rPr>
                <w:rFonts w:ascii="Arial" w:hAnsi="Arial" w:cs="Arial"/>
                <w:sz w:val="22"/>
                <w:szCs w:val="22"/>
              </w:rPr>
            </w:pPr>
            <w:r w:rsidRPr="00FC055E">
              <w:rPr>
                <w:rFonts w:ascii="Arial" w:hAnsi="Arial" w:cs="Arial"/>
                <w:sz w:val="22"/>
                <w:szCs w:val="22"/>
              </w:rPr>
              <w:t>z = 1,72</w:t>
            </w:r>
            <w:r w:rsidRPr="00FC055E">
              <w:rPr>
                <w:rFonts w:ascii="Arial" w:hAnsi="Arial" w:cs="Arial"/>
                <w:sz w:val="22"/>
                <w:szCs w:val="22"/>
                <w:vertAlign w:val="superscript"/>
              </w:rPr>
              <w:t>*</w:t>
            </w:r>
          </w:p>
        </w:tc>
        <w:tc>
          <w:tcPr>
            <w:tcW w:w="1843" w:type="dxa"/>
            <w:tcBorders>
              <w:bottom w:val="single" w:sz="4" w:space="0" w:color="auto"/>
            </w:tcBorders>
          </w:tcPr>
          <w:p w14:paraId="37EAF50A" w14:textId="77777777" w:rsidR="00842757" w:rsidRPr="00FC055E" w:rsidRDefault="00842757" w:rsidP="00C85DB8">
            <w:pPr>
              <w:rPr>
                <w:rFonts w:ascii="Arial" w:hAnsi="Arial" w:cs="Arial"/>
                <w:sz w:val="22"/>
                <w:szCs w:val="22"/>
              </w:rPr>
            </w:pPr>
            <w:r w:rsidRPr="00FC055E">
              <w:rPr>
                <w:rFonts w:ascii="Arial" w:hAnsi="Arial" w:cs="Arial"/>
                <w:sz w:val="22"/>
                <w:szCs w:val="22"/>
              </w:rPr>
              <w:t>z = 2,44</w:t>
            </w:r>
            <w:r w:rsidRPr="00FC055E">
              <w:rPr>
                <w:rFonts w:ascii="Arial" w:hAnsi="Arial" w:cs="Arial"/>
                <w:sz w:val="22"/>
                <w:szCs w:val="22"/>
                <w:vertAlign w:val="superscript"/>
              </w:rPr>
              <w:t>**</w:t>
            </w:r>
          </w:p>
        </w:tc>
        <w:tc>
          <w:tcPr>
            <w:tcW w:w="1701" w:type="dxa"/>
            <w:tcBorders>
              <w:bottom w:val="single" w:sz="4" w:space="0" w:color="auto"/>
            </w:tcBorders>
          </w:tcPr>
          <w:p w14:paraId="4BC75441" w14:textId="77777777" w:rsidR="00842757" w:rsidRPr="00FC055E" w:rsidRDefault="00842757" w:rsidP="005E5C9C">
            <w:pPr>
              <w:rPr>
                <w:rFonts w:ascii="Arial" w:hAnsi="Arial" w:cs="Arial"/>
                <w:sz w:val="22"/>
                <w:szCs w:val="22"/>
              </w:rPr>
            </w:pPr>
            <w:r w:rsidRPr="00FC055E">
              <w:rPr>
                <w:rFonts w:ascii="Arial" w:hAnsi="Arial" w:cs="Arial"/>
                <w:sz w:val="22"/>
                <w:szCs w:val="22"/>
              </w:rPr>
              <w:t>z = 2,81</w:t>
            </w:r>
            <w:r w:rsidRPr="00FC055E">
              <w:rPr>
                <w:rFonts w:ascii="Arial" w:hAnsi="Arial" w:cs="Arial"/>
                <w:sz w:val="22"/>
                <w:szCs w:val="22"/>
                <w:vertAlign w:val="superscript"/>
              </w:rPr>
              <w:t>**</w:t>
            </w:r>
          </w:p>
        </w:tc>
      </w:tr>
    </w:tbl>
    <w:p w14:paraId="1F9895F4" w14:textId="77777777" w:rsidR="004770ED" w:rsidRPr="00CD26A8" w:rsidRDefault="00842757" w:rsidP="00106AE6">
      <w:pPr>
        <w:spacing w:after="160" w:line="360" w:lineRule="auto"/>
        <w:jc w:val="both"/>
        <w:rPr>
          <w:rFonts w:ascii="Arial" w:hAnsi="Arial" w:cs="Arial"/>
          <w:b/>
          <w:sz w:val="22"/>
          <w:szCs w:val="22"/>
        </w:rPr>
      </w:pPr>
      <w:r w:rsidRPr="00FC055E">
        <w:rPr>
          <w:rFonts w:ascii="Arial" w:hAnsi="Arial" w:cs="Arial"/>
          <w:sz w:val="22"/>
          <w:szCs w:val="22"/>
        </w:rPr>
        <w:t>* p &lt; 0,05; ** p &lt; 0,01; *** p &lt; 0,001</w:t>
      </w:r>
    </w:p>
    <w:p w14:paraId="7F7BE9E3" w14:textId="77777777" w:rsidR="00BB79A2" w:rsidRDefault="00BB79A2" w:rsidP="00D00E20">
      <w:pPr>
        <w:spacing w:after="120" w:line="360" w:lineRule="auto"/>
        <w:jc w:val="both"/>
        <w:rPr>
          <w:rFonts w:ascii="Arial" w:hAnsi="Arial" w:cs="Arial"/>
          <w:sz w:val="22"/>
          <w:szCs w:val="22"/>
        </w:rPr>
      </w:pPr>
    </w:p>
    <w:p w14:paraId="3BBD8722" w14:textId="75029786"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Im Grad der Verbindlichkeit sind deutlichere Unterschiede zwischen den Antworten an amerikanische und asiatische Bewerber erkennbar. Erstens erhalten amerikanische Doktoranden deutlich häufiger Emails mit expliziten Interessensbekundungen und Emotionsäußerungen in Bezug auf die Betreuungsanfrage (28,7% bzw. 11,9%).</w:t>
      </w:r>
      <w:r w:rsidRPr="00FC055E">
        <w:rPr>
          <w:rStyle w:val="Funotenzeichen"/>
          <w:rFonts w:ascii="Arial" w:hAnsi="Arial" w:cs="Arial"/>
          <w:sz w:val="22"/>
          <w:szCs w:val="22"/>
        </w:rPr>
        <w:footnoteReference w:id="10"/>
      </w:r>
      <w:r w:rsidRPr="00FC055E">
        <w:rPr>
          <w:rFonts w:ascii="Arial" w:hAnsi="Arial" w:cs="Arial"/>
          <w:sz w:val="22"/>
          <w:szCs w:val="22"/>
        </w:rPr>
        <w:t xml:space="preserve"> Zweitens führen deutsche Professoren die Korrespondenz mit amerikanischen Doktoranden auf persönlichere Art und Weise, was </w:t>
      </w:r>
      <w:r w:rsidRPr="00FC055E">
        <w:rPr>
          <w:rFonts w:ascii="Arial" w:hAnsi="Arial" w:cs="Arial"/>
          <w:sz w:val="22"/>
          <w:szCs w:val="22"/>
        </w:rPr>
        <w:lastRenderedPageBreak/>
        <w:t>sich an der signifikant häufigeren Verwendung von Vor</w:t>
      </w:r>
      <w:r w:rsidR="00CD26A8">
        <w:rPr>
          <w:rFonts w:ascii="Arial" w:hAnsi="Arial" w:cs="Arial"/>
          <w:sz w:val="22"/>
          <w:szCs w:val="22"/>
        </w:rPr>
        <w:t>namen in der Anrede zeigt (40,4</w:t>
      </w:r>
      <w:r w:rsidR="009E5DEB">
        <w:rPr>
          <w:rFonts w:ascii="Arial" w:hAnsi="Arial" w:cs="Arial"/>
          <w:sz w:val="22"/>
          <w:szCs w:val="22"/>
        </w:rPr>
        <w:t>%</w:t>
      </w:r>
      <w:r w:rsidRPr="00FC055E">
        <w:rPr>
          <w:rFonts w:ascii="Arial" w:hAnsi="Arial" w:cs="Arial"/>
          <w:sz w:val="22"/>
          <w:szCs w:val="22"/>
        </w:rPr>
        <w:t xml:space="preserve"> </w:t>
      </w:r>
      <w:r w:rsidR="00CD26A8">
        <w:rPr>
          <w:rFonts w:ascii="Arial" w:hAnsi="Arial" w:cs="Arial"/>
          <w:sz w:val="22"/>
          <w:szCs w:val="22"/>
        </w:rPr>
        <w:t>versus</w:t>
      </w:r>
      <w:r w:rsidRPr="00FC055E">
        <w:rPr>
          <w:rFonts w:ascii="Arial" w:hAnsi="Arial" w:cs="Arial"/>
          <w:sz w:val="22"/>
          <w:szCs w:val="22"/>
        </w:rPr>
        <w:t xml:space="preserve"> 18,6%).</w:t>
      </w:r>
      <w:r w:rsidRPr="00FC055E">
        <w:rPr>
          <w:rStyle w:val="Funotenzeichen"/>
          <w:rFonts w:ascii="Arial" w:hAnsi="Arial" w:cs="Arial"/>
          <w:sz w:val="22"/>
          <w:szCs w:val="22"/>
        </w:rPr>
        <w:footnoteReference w:id="11"/>
      </w:r>
      <w:r w:rsidRPr="00FC055E">
        <w:rPr>
          <w:rFonts w:ascii="Arial" w:hAnsi="Arial" w:cs="Arial"/>
          <w:sz w:val="22"/>
          <w:szCs w:val="22"/>
        </w:rPr>
        <w:t xml:space="preserve"> </w:t>
      </w:r>
    </w:p>
    <w:p w14:paraId="70F606DB" w14:textId="77777777"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Die Inhaltsanalyse der Antworten auf unsere fingierten Betreuungsanfragen weist also ebenso wie die Auswertung des Antwortverhaltens selbst darauf hin, dass das mit der Herkunft der Bewerber verbundene symbolische Kapital das Antwortverhalten der angefragten Hochschullehrer strukturiert – und damit auch die Chancen der Doktoranden auf einen Gastaufenthalt in Deutschland. </w:t>
      </w:r>
    </w:p>
    <w:p w14:paraId="2971E1CB" w14:textId="77777777" w:rsidR="00842757" w:rsidRPr="00FC055E" w:rsidRDefault="00842757" w:rsidP="00D00E20">
      <w:pPr>
        <w:spacing w:after="120" w:line="360" w:lineRule="auto"/>
        <w:jc w:val="both"/>
        <w:rPr>
          <w:rFonts w:ascii="Arial" w:hAnsi="Arial" w:cs="Arial"/>
          <w:b/>
          <w:sz w:val="22"/>
          <w:szCs w:val="22"/>
        </w:rPr>
      </w:pPr>
    </w:p>
    <w:p w14:paraId="10EFE152" w14:textId="77777777" w:rsidR="00842757" w:rsidRPr="00FC055E" w:rsidRDefault="00842757" w:rsidP="00D00E20">
      <w:pPr>
        <w:spacing w:after="120" w:line="360" w:lineRule="auto"/>
        <w:jc w:val="both"/>
        <w:rPr>
          <w:rFonts w:ascii="Arial" w:hAnsi="Arial" w:cs="Arial"/>
          <w:b/>
          <w:sz w:val="22"/>
          <w:szCs w:val="22"/>
        </w:rPr>
      </w:pPr>
      <w:r w:rsidRPr="00FC055E">
        <w:rPr>
          <w:rFonts w:ascii="Arial" w:hAnsi="Arial" w:cs="Arial"/>
          <w:b/>
          <w:sz w:val="22"/>
          <w:szCs w:val="22"/>
        </w:rPr>
        <w:t xml:space="preserve">4. Zusammenfassung und Ausblick </w:t>
      </w:r>
    </w:p>
    <w:p w14:paraId="5DA3BF95" w14:textId="4023FC32" w:rsidR="00F07318" w:rsidRPr="00FC055E" w:rsidRDefault="000A79AE" w:rsidP="00D00E20">
      <w:pPr>
        <w:spacing w:after="120" w:line="360" w:lineRule="auto"/>
        <w:jc w:val="both"/>
        <w:rPr>
          <w:rFonts w:ascii="Arial" w:hAnsi="Arial" w:cs="Arial"/>
          <w:sz w:val="22"/>
          <w:szCs w:val="22"/>
        </w:rPr>
      </w:pPr>
      <w:r>
        <w:rPr>
          <w:rFonts w:ascii="Arial" w:hAnsi="Arial" w:cs="Arial"/>
          <w:sz w:val="22"/>
          <w:szCs w:val="22"/>
        </w:rPr>
        <w:t>M</w:t>
      </w:r>
      <w:r w:rsidR="00842757" w:rsidRPr="00FC055E">
        <w:rPr>
          <w:rFonts w:ascii="Arial" w:hAnsi="Arial" w:cs="Arial"/>
          <w:sz w:val="22"/>
          <w:szCs w:val="22"/>
        </w:rPr>
        <w:t xml:space="preserve">ittels einer experimentellen Studie </w:t>
      </w:r>
      <w:r>
        <w:rPr>
          <w:rFonts w:ascii="Arial" w:hAnsi="Arial" w:cs="Arial"/>
          <w:sz w:val="22"/>
          <w:szCs w:val="22"/>
        </w:rPr>
        <w:t xml:space="preserve">haben wir </w:t>
      </w:r>
      <w:r w:rsidR="00842757" w:rsidRPr="00FC055E">
        <w:rPr>
          <w:rFonts w:ascii="Arial" w:hAnsi="Arial" w:cs="Arial"/>
          <w:sz w:val="22"/>
          <w:szCs w:val="22"/>
        </w:rPr>
        <w:t>versucht zu bestimmen,</w:t>
      </w:r>
      <w:r w:rsidR="00F07318" w:rsidRPr="00FC055E">
        <w:rPr>
          <w:rFonts w:ascii="Arial" w:hAnsi="Arial" w:cs="Arial"/>
          <w:sz w:val="22"/>
          <w:szCs w:val="22"/>
        </w:rPr>
        <w:t xml:space="preserve"> in welchem Maße die </w:t>
      </w:r>
      <w:r w:rsidR="007F441F" w:rsidRPr="00FC055E">
        <w:rPr>
          <w:rFonts w:ascii="Arial" w:hAnsi="Arial" w:cs="Arial"/>
          <w:sz w:val="22"/>
          <w:szCs w:val="22"/>
        </w:rPr>
        <w:t>globale Reputationshierarchie des Wissenschaftssystems, die sich in der Verteilung des s</w:t>
      </w:r>
      <w:r w:rsidR="00842757" w:rsidRPr="00FC055E">
        <w:rPr>
          <w:rFonts w:ascii="Arial" w:hAnsi="Arial" w:cs="Arial"/>
          <w:sz w:val="22"/>
          <w:szCs w:val="22"/>
        </w:rPr>
        <w:t>ymbolische</w:t>
      </w:r>
      <w:r w:rsidR="007F441F" w:rsidRPr="00FC055E">
        <w:rPr>
          <w:rFonts w:ascii="Arial" w:hAnsi="Arial" w:cs="Arial"/>
          <w:sz w:val="22"/>
          <w:szCs w:val="22"/>
        </w:rPr>
        <w:t>n</w:t>
      </w:r>
      <w:r w:rsidR="00842757" w:rsidRPr="00FC055E">
        <w:rPr>
          <w:rFonts w:ascii="Arial" w:hAnsi="Arial" w:cs="Arial"/>
          <w:sz w:val="22"/>
          <w:szCs w:val="22"/>
        </w:rPr>
        <w:t xml:space="preserve"> Kapital</w:t>
      </w:r>
      <w:r w:rsidR="007F441F" w:rsidRPr="00FC055E">
        <w:rPr>
          <w:rFonts w:ascii="Arial" w:hAnsi="Arial" w:cs="Arial"/>
          <w:sz w:val="22"/>
          <w:szCs w:val="22"/>
        </w:rPr>
        <w:t>s</w:t>
      </w:r>
      <w:r w:rsidR="00842757" w:rsidRPr="00FC055E">
        <w:rPr>
          <w:rFonts w:ascii="Arial" w:hAnsi="Arial" w:cs="Arial"/>
          <w:sz w:val="22"/>
          <w:szCs w:val="22"/>
        </w:rPr>
        <w:t xml:space="preserve"> universitäre</w:t>
      </w:r>
      <w:r w:rsidR="002E0C5C">
        <w:rPr>
          <w:rFonts w:ascii="Arial" w:hAnsi="Arial" w:cs="Arial"/>
          <w:sz w:val="22"/>
          <w:szCs w:val="22"/>
        </w:rPr>
        <w:t>r</w:t>
      </w:r>
      <w:r w:rsidR="00842757" w:rsidRPr="00FC055E">
        <w:rPr>
          <w:rFonts w:ascii="Arial" w:hAnsi="Arial" w:cs="Arial"/>
          <w:sz w:val="22"/>
          <w:szCs w:val="22"/>
        </w:rPr>
        <w:t xml:space="preserve"> Hochschulstandort</w:t>
      </w:r>
      <w:r w:rsidR="007F441F" w:rsidRPr="00FC055E">
        <w:rPr>
          <w:rFonts w:ascii="Arial" w:hAnsi="Arial" w:cs="Arial"/>
          <w:sz w:val="22"/>
          <w:szCs w:val="22"/>
        </w:rPr>
        <w:t xml:space="preserve">e </w:t>
      </w:r>
      <w:r w:rsidR="00B50040" w:rsidRPr="00FC055E">
        <w:rPr>
          <w:rFonts w:ascii="Arial" w:hAnsi="Arial" w:cs="Arial"/>
          <w:sz w:val="22"/>
          <w:szCs w:val="22"/>
        </w:rPr>
        <w:t xml:space="preserve">und </w:t>
      </w:r>
      <w:r w:rsidR="00842757" w:rsidRPr="00FC055E">
        <w:rPr>
          <w:rFonts w:ascii="Arial" w:hAnsi="Arial" w:cs="Arial"/>
          <w:sz w:val="22"/>
          <w:szCs w:val="22"/>
        </w:rPr>
        <w:t>Universität</w:t>
      </w:r>
      <w:r w:rsidR="007F441F" w:rsidRPr="00FC055E">
        <w:rPr>
          <w:rFonts w:ascii="Arial" w:hAnsi="Arial" w:cs="Arial"/>
          <w:sz w:val="22"/>
          <w:szCs w:val="22"/>
        </w:rPr>
        <w:t>en</w:t>
      </w:r>
      <w:r w:rsidR="00842757" w:rsidRPr="00FC055E">
        <w:rPr>
          <w:rFonts w:ascii="Arial" w:hAnsi="Arial" w:cs="Arial"/>
          <w:sz w:val="22"/>
          <w:szCs w:val="22"/>
        </w:rPr>
        <w:t xml:space="preserve"> </w:t>
      </w:r>
      <w:r w:rsidR="007F441F" w:rsidRPr="00FC055E">
        <w:rPr>
          <w:rFonts w:ascii="Arial" w:hAnsi="Arial" w:cs="Arial"/>
          <w:sz w:val="22"/>
          <w:szCs w:val="22"/>
        </w:rPr>
        <w:t xml:space="preserve">manifestiert, </w:t>
      </w:r>
      <w:r w:rsidR="00842757" w:rsidRPr="00FC055E">
        <w:rPr>
          <w:rFonts w:ascii="Arial" w:hAnsi="Arial" w:cs="Arial"/>
          <w:sz w:val="22"/>
          <w:szCs w:val="22"/>
        </w:rPr>
        <w:t xml:space="preserve">die </w:t>
      </w:r>
      <w:r w:rsidR="001213EE">
        <w:rPr>
          <w:rFonts w:ascii="Arial" w:hAnsi="Arial" w:cs="Arial"/>
          <w:sz w:val="22"/>
          <w:szCs w:val="22"/>
        </w:rPr>
        <w:t>internationalen Mobilitätsc</w:t>
      </w:r>
      <w:r w:rsidR="00842757" w:rsidRPr="00FC055E">
        <w:rPr>
          <w:rFonts w:ascii="Arial" w:hAnsi="Arial" w:cs="Arial"/>
          <w:sz w:val="22"/>
          <w:szCs w:val="22"/>
        </w:rPr>
        <w:t xml:space="preserve">hancen </w:t>
      </w:r>
      <w:r w:rsidR="007F441F" w:rsidRPr="00FC055E">
        <w:rPr>
          <w:rFonts w:ascii="Arial" w:hAnsi="Arial" w:cs="Arial"/>
          <w:sz w:val="22"/>
          <w:szCs w:val="22"/>
        </w:rPr>
        <w:t xml:space="preserve">von </w:t>
      </w:r>
      <w:r w:rsidR="00842757" w:rsidRPr="00FC055E">
        <w:rPr>
          <w:rFonts w:ascii="Arial" w:hAnsi="Arial" w:cs="Arial"/>
          <w:sz w:val="22"/>
          <w:szCs w:val="22"/>
        </w:rPr>
        <w:t xml:space="preserve">Doktoranden </w:t>
      </w:r>
      <w:r w:rsidR="00B50040" w:rsidRPr="00FC055E">
        <w:rPr>
          <w:rFonts w:ascii="Arial" w:hAnsi="Arial" w:cs="Arial"/>
          <w:sz w:val="22"/>
          <w:szCs w:val="22"/>
        </w:rPr>
        <w:t>beeinflusst</w:t>
      </w:r>
      <w:r w:rsidR="00842757" w:rsidRPr="00FC055E">
        <w:rPr>
          <w:rFonts w:ascii="Arial" w:hAnsi="Arial" w:cs="Arial"/>
          <w:sz w:val="22"/>
          <w:szCs w:val="22"/>
        </w:rPr>
        <w:t xml:space="preserve">. </w:t>
      </w:r>
      <w:r w:rsidR="002A3639">
        <w:rPr>
          <w:rFonts w:ascii="Arial" w:hAnsi="Arial" w:cs="Arial"/>
          <w:sz w:val="22"/>
          <w:szCs w:val="22"/>
        </w:rPr>
        <w:t xml:space="preserve">Dabei ist uns </w:t>
      </w:r>
      <w:r w:rsidR="00F07318" w:rsidRPr="00FC055E">
        <w:rPr>
          <w:rFonts w:ascii="Arial" w:hAnsi="Arial" w:cs="Arial"/>
          <w:sz w:val="22"/>
          <w:szCs w:val="22"/>
        </w:rPr>
        <w:t>bewusst,</w:t>
      </w:r>
      <w:r w:rsidR="00B50040" w:rsidRPr="00FC055E">
        <w:rPr>
          <w:rFonts w:ascii="Arial" w:hAnsi="Arial" w:cs="Arial"/>
          <w:sz w:val="22"/>
          <w:szCs w:val="22"/>
        </w:rPr>
        <w:t xml:space="preserve"> dass es sich bei </w:t>
      </w:r>
      <w:r w:rsidR="002A3639">
        <w:rPr>
          <w:rFonts w:ascii="Arial" w:hAnsi="Arial" w:cs="Arial"/>
          <w:sz w:val="22"/>
          <w:szCs w:val="22"/>
        </w:rPr>
        <w:t xml:space="preserve">der </w:t>
      </w:r>
      <w:r w:rsidR="00B50040" w:rsidRPr="00FC055E">
        <w:rPr>
          <w:rFonts w:ascii="Arial" w:hAnsi="Arial" w:cs="Arial"/>
          <w:sz w:val="22"/>
          <w:szCs w:val="22"/>
        </w:rPr>
        <w:t xml:space="preserve">Untersuchung um eine explorative Studie handelt, die natürlich </w:t>
      </w:r>
      <w:r w:rsidR="00F07318" w:rsidRPr="00FC055E">
        <w:rPr>
          <w:rFonts w:ascii="Arial" w:hAnsi="Arial" w:cs="Arial"/>
          <w:sz w:val="22"/>
          <w:szCs w:val="22"/>
        </w:rPr>
        <w:t xml:space="preserve">das komplexe Gefüge </w:t>
      </w:r>
      <w:r w:rsidR="00B50040" w:rsidRPr="00FC055E">
        <w:rPr>
          <w:rFonts w:ascii="Arial" w:hAnsi="Arial" w:cs="Arial"/>
          <w:sz w:val="22"/>
          <w:szCs w:val="22"/>
        </w:rPr>
        <w:t xml:space="preserve">eines globalen Wissenschaftssystems nicht </w:t>
      </w:r>
      <w:r w:rsidR="00F07318" w:rsidRPr="00FC055E">
        <w:rPr>
          <w:rFonts w:ascii="Arial" w:hAnsi="Arial" w:cs="Arial"/>
          <w:sz w:val="22"/>
          <w:szCs w:val="22"/>
        </w:rPr>
        <w:t>abbilden k</w:t>
      </w:r>
      <w:r w:rsidR="00B50040" w:rsidRPr="00FC055E">
        <w:rPr>
          <w:rFonts w:ascii="Arial" w:hAnsi="Arial" w:cs="Arial"/>
          <w:sz w:val="22"/>
          <w:szCs w:val="22"/>
        </w:rPr>
        <w:t xml:space="preserve">ann. </w:t>
      </w:r>
      <w:r w:rsidR="00323AED">
        <w:rPr>
          <w:rFonts w:ascii="Arial" w:hAnsi="Arial" w:cs="Arial"/>
          <w:sz w:val="22"/>
          <w:szCs w:val="22"/>
        </w:rPr>
        <w:t xml:space="preserve">Hierzu wäre </w:t>
      </w:r>
      <w:proofErr w:type="gramStart"/>
      <w:r w:rsidR="00323AED">
        <w:rPr>
          <w:rFonts w:ascii="Arial" w:hAnsi="Arial" w:cs="Arial"/>
          <w:sz w:val="22"/>
          <w:szCs w:val="22"/>
        </w:rPr>
        <w:t>eine breiter angelegte Studie</w:t>
      </w:r>
      <w:proofErr w:type="gramEnd"/>
      <w:r w:rsidR="00323AED">
        <w:rPr>
          <w:rFonts w:ascii="Arial" w:hAnsi="Arial" w:cs="Arial"/>
          <w:sz w:val="22"/>
          <w:szCs w:val="22"/>
        </w:rPr>
        <w:t xml:space="preserve"> mit weiteren Ländern (z.B. Frankreich, Russland) und Universitäten notwendig. Auch die Einbeziehung eines anderen Fachs mit einem höheren Globalisierungsgrad und größerer interner Einigkeit über fachspezifische Qualitätsstandards (z.B. Mathematik) ließe interessante Ergebnisse erwarten.</w:t>
      </w:r>
    </w:p>
    <w:p w14:paraId="6DF9AB31" w14:textId="7181F395" w:rsidR="00842757" w:rsidRPr="00FC055E" w:rsidRDefault="00323AED" w:rsidP="00D00E20">
      <w:pPr>
        <w:spacing w:after="120" w:line="360" w:lineRule="auto"/>
        <w:jc w:val="both"/>
        <w:rPr>
          <w:rFonts w:ascii="Arial" w:hAnsi="Arial" w:cs="Arial"/>
          <w:sz w:val="22"/>
          <w:szCs w:val="22"/>
        </w:rPr>
      </w:pPr>
      <w:r>
        <w:rPr>
          <w:rFonts w:ascii="Arial" w:hAnsi="Arial" w:cs="Arial"/>
          <w:sz w:val="22"/>
          <w:szCs w:val="22"/>
        </w:rPr>
        <w:t>In Bezug auf die von uns einbezogenen Fälle unterstützen die</w:t>
      </w:r>
      <w:r w:rsidRPr="00FC055E">
        <w:rPr>
          <w:rFonts w:ascii="Arial" w:hAnsi="Arial" w:cs="Arial"/>
          <w:sz w:val="22"/>
          <w:szCs w:val="22"/>
        </w:rPr>
        <w:t xml:space="preserve"> </w:t>
      </w:r>
      <w:r w:rsidR="00842757" w:rsidRPr="00FC055E">
        <w:rPr>
          <w:rFonts w:ascii="Arial" w:hAnsi="Arial" w:cs="Arial"/>
          <w:sz w:val="22"/>
          <w:szCs w:val="22"/>
        </w:rPr>
        <w:t xml:space="preserve">Ergebnisse die Annahme, dass Unterschiede in der wissenschaftlichen Reputation verschiedener Länder und Universitäten einen Einfluss auf die Erfolgschancen von Doktoranden haben, eine Betreuungszusage für einen Forschungsaufenthalt in Deutschland zu bekommen. Doktoranden der weltweit bekannten Ivy-League-Universität Yale erhalten am häufigsten eine positive Rückmeldung auf ihre Betreuungsanfrage, gefolgt von der staatlichen Pennsylvania State University. Deutlich dahinter liegen die beiden Universitäten aus Singapur und Vietnam, deren Bewerber ähnlich </w:t>
      </w:r>
      <w:r w:rsidR="00A673B5">
        <w:rPr>
          <w:rFonts w:ascii="Arial" w:hAnsi="Arial" w:cs="Arial"/>
          <w:sz w:val="22"/>
          <w:szCs w:val="22"/>
        </w:rPr>
        <w:t>s</w:t>
      </w:r>
      <w:r w:rsidR="00E7028C">
        <w:rPr>
          <w:rFonts w:ascii="Arial" w:hAnsi="Arial" w:cs="Arial"/>
          <w:sz w:val="22"/>
          <w:szCs w:val="22"/>
        </w:rPr>
        <w:t>elten</w:t>
      </w:r>
      <w:r w:rsidR="00A673B5" w:rsidRPr="00FC055E">
        <w:rPr>
          <w:rFonts w:ascii="Arial" w:hAnsi="Arial" w:cs="Arial"/>
          <w:sz w:val="22"/>
          <w:szCs w:val="22"/>
        </w:rPr>
        <w:t xml:space="preserve"> </w:t>
      </w:r>
      <w:r w:rsidR="00842757" w:rsidRPr="00FC055E">
        <w:rPr>
          <w:rFonts w:ascii="Arial" w:hAnsi="Arial" w:cs="Arial"/>
          <w:sz w:val="22"/>
          <w:szCs w:val="22"/>
        </w:rPr>
        <w:t>positive Rückmeldungen erhalten. Zudem fallen die Antworten an US-amerikanische Bewerber im Schnitt informativer und verbindlicher aus als an asiatische Bewerber. Aus diesen Befunden lassen sich zwei Schlussfolgerungen ziehen:</w:t>
      </w:r>
    </w:p>
    <w:p w14:paraId="1E295E81" w14:textId="0ED093EB"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 xml:space="preserve">(1) Eine Promotion an einer prestigereichen Universität wie Yale lohnt sich. Die wissenschaftliche Reputation einer solchen Universität färbt unabhängig von der individuellen Leistung auf ihre Doktoranden ab und kann in andere Vorteile – zum Beispiel in einen Forschungsaufenthalt </w:t>
      </w:r>
      <w:r w:rsidRPr="00FC055E">
        <w:rPr>
          <w:rFonts w:ascii="Arial" w:hAnsi="Arial" w:cs="Arial"/>
          <w:sz w:val="22"/>
          <w:szCs w:val="22"/>
        </w:rPr>
        <w:lastRenderedPageBreak/>
        <w:t xml:space="preserve">in Deutschland – konvertiert werden. Dies </w:t>
      </w:r>
      <w:r w:rsidR="00E03202">
        <w:rPr>
          <w:rFonts w:ascii="Arial" w:hAnsi="Arial" w:cs="Arial"/>
          <w:sz w:val="22"/>
          <w:szCs w:val="22"/>
        </w:rPr>
        <w:t>gilt selbst dann</w:t>
      </w:r>
      <w:r w:rsidRPr="00FC055E">
        <w:rPr>
          <w:rFonts w:ascii="Arial" w:hAnsi="Arial" w:cs="Arial"/>
          <w:sz w:val="22"/>
          <w:szCs w:val="22"/>
        </w:rPr>
        <w:t xml:space="preserve">, </w:t>
      </w:r>
      <w:r w:rsidR="00E03202">
        <w:rPr>
          <w:rFonts w:ascii="Arial" w:hAnsi="Arial" w:cs="Arial"/>
          <w:sz w:val="22"/>
          <w:szCs w:val="22"/>
        </w:rPr>
        <w:t xml:space="preserve">wenn die soziologischen Institute dieser Universitäten in Forschungsrankings schlechter abschneiden als </w:t>
      </w:r>
      <w:r w:rsidR="006C1459">
        <w:rPr>
          <w:rFonts w:ascii="Arial" w:hAnsi="Arial" w:cs="Arial"/>
          <w:sz w:val="22"/>
          <w:szCs w:val="22"/>
        </w:rPr>
        <w:t>die</w:t>
      </w:r>
      <w:r w:rsidR="00ED5B0E">
        <w:rPr>
          <w:rFonts w:ascii="Arial" w:hAnsi="Arial" w:cs="Arial"/>
          <w:sz w:val="22"/>
          <w:szCs w:val="22"/>
        </w:rPr>
        <w:t>jenigen</w:t>
      </w:r>
      <w:r w:rsidR="006C1459">
        <w:rPr>
          <w:rFonts w:ascii="Arial" w:hAnsi="Arial" w:cs="Arial"/>
          <w:sz w:val="22"/>
          <w:szCs w:val="22"/>
        </w:rPr>
        <w:t xml:space="preserve"> </w:t>
      </w:r>
      <w:r w:rsidR="00E03202">
        <w:rPr>
          <w:rFonts w:ascii="Arial" w:hAnsi="Arial" w:cs="Arial"/>
          <w:sz w:val="22"/>
          <w:szCs w:val="22"/>
        </w:rPr>
        <w:t>weniger prestigereiche</w:t>
      </w:r>
      <w:r w:rsidR="006C1459">
        <w:rPr>
          <w:rFonts w:ascii="Arial" w:hAnsi="Arial" w:cs="Arial"/>
          <w:sz w:val="22"/>
          <w:szCs w:val="22"/>
        </w:rPr>
        <w:t>r</w:t>
      </w:r>
      <w:r w:rsidR="00E03202">
        <w:rPr>
          <w:rFonts w:ascii="Arial" w:hAnsi="Arial" w:cs="Arial"/>
          <w:sz w:val="22"/>
          <w:szCs w:val="22"/>
        </w:rPr>
        <w:t xml:space="preserve"> Hochschulen, die</w:t>
      </w:r>
      <w:r w:rsidRPr="00FC055E">
        <w:rPr>
          <w:rFonts w:ascii="Arial" w:hAnsi="Arial" w:cs="Arial"/>
          <w:sz w:val="22"/>
          <w:szCs w:val="22"/>
        </w:rPr>
        <w:t xml:space="preserve"> unter Umständen fachlich qualifiziertere Soziologen ausbilden.</w:t>
      </w:r>
    </w:p>
    <w:p w14:paraId="341B3D53" w14:textId="77777777" w:rsidR="00842757" w:rsidRPr="00FC055E" w:rsidRDefault="00842757" w:rsidP="00D00E20">
      <w:pPr>
        <w:spacing w:after="120" w:line="360" w:lineRule="auto"/>
        <w:jc w:val="both"/>
        <w:rPr>
          <w:rFonts w:ascii="Arial" w:hAnsi="Arial" w:cs="Arial"/>
          <w:sz w:val="22"/>
          <w:szCs w:val="22"/>
        </w:rPr>
      </w:pPr>
      <w:r w:rsidRPr="00FC055E">
        <w:rPr>
          <w:rFonts w:ascii="Arial" w:hAnsi="Arial" w:cs="Arial"/>
          <w:sz w:val="22"/>
          <w:szCs w:val="22"/>
        </w:rPr>
        <w:t>(2) Man muss im „richtigen“ Land promovieren. Das internationale Wissenschaftssystem scheint nach wie vor durch Prestigeunterschiede zwischen Ländern, nicht nur zwischen Universitäten strukturiert zu sein. Auch wenn eine Universität wie die NU Singapur in den letzten Jahrzehnten erfolgreich aufgeholt und sich in internationalen Hochschulrankings inzwischen auf die vordersten Plätze geschoben hat, scheint sie immer noch mit der wissenschaftlich weitaus unbedeutenderen VNU Hanoi in einen Topf geworfen zu werden – zumindest in den Augen vieler deutscher Hochschullehrer.</w:t>
      </w:r>
    </w:p>
    <w:p w14:paraId="3D4DE451" w14:textId="10AF5410" w:rsidR="00842757" w:rsidRPr="00FC055E" w:rsidRDefault="002A3639" w:rsidP="00D00E20">
      <w:pPr>
        <w:spacing w:after="120" w:line="360" w:lineRule="auto"/>
        <w:jc w:val="both"/>
        <w:rPr>
          <w:rFonts w:ascii="Arial" w:hAnsi="Arial" w:cs="Arial"/>
          <w:sz w:val="22"/>
          <w:szCs w:val="22"/>
        </w:rPr>
      </w:pPr>
      <w:r>
        <w:rPr>
          <w:rFonts w:ascii="Arial" w:hAnsi="Arial" w:cs="Arial"/>
          <w:sz w:val="22"/>
          <w:szCs w:val="22"/>
        </w:rPr>
        <w:t xml:space="preserve">Dieses Ergebnis hat </w:t>
      </w:r>
      <w:r w:rsidR="00842757" w:rsidRPr="00FC055E">
        <w:rPr>
          <w:rFonts w:ascii="Arial" w:hAnsi="Arial" w:cs="Arial"/>
          <w:sz w:val="22"/>
          <w:szCs w:val="22"/>
        </w:rPr>
        <w:t>auch normative Impli</w:t>
      </w:r>
      <w:r w:rsidR="00B6478E">
        <w:rPr>
          <w:rFonts w:ascii="Arial" w:hAnsi="Arial" w:cs="Arial"/>
          <w:sz w:val="22"/>
          <w:szCs w:val="22"/>
        </w:rPr>
        <w:t>kationen. Robert K. Merton (1949</w:t>
      </w:r>
      <w:r w:rsidR="00842757" w:rsidRPr="00FC055E">
        <w:rPr>
          <w:rFonts w:ascii="Arial" w:hAnsi="Arial" w:cs="Arial"/>
          <w:sz w:val="22"/>
          <w:szCs w:val="22"/>
        </w:rPr>
        <w:t xml:space="preserve">) hat in seinem berühmten Aufsatz „Science and Democratic </w:t>
      </w:r>
      <w:proofErr w:type="spellStart"/>
      <w:r w:rsidR="00842757" w:rsidRPr="00FC055E">
        <w:rPr>
          <w:rFonts w:ascii="Arial" w:hAnsi="Arial" w:cs="Arial"/>
          <w:sz w:val="22"/>
          <w:szCs w:val="22"/>
        </w:rPr>
        <w:t>Social</w:t>
      </w:r>
      <w:proofErr w:type="spellEnd"/>
      <w:r w:rsidR="00842757" w:rsidRPr="00FC055E">
        <w:rPr>
          <w:rFonts w:ascii="Arial" w:hAnsi="Arial" w:cs="Arial"/>
          <w:sz w:val="22"/>
          <w:szCs w:val="22"/>
        </w:rPr>
        <w:t xml:space="preserve"> </w:t>
      </w:r>
      <w:proofErr w:type="spellStart"/>
      <w:r w:rsidR="00842757" w:rsidRPr="00FC055E">
        <w:rPr>
          <w:rFonts w:ascii="Arial" w:hAnsi="Arial" w:cs="Arial"/>
          <w:sz w:val="22"/>
          <w:szCs w:val="22"/>
        </w:rPr>
        <w:t>Structure</w:t>
      </w:r>
      <w:proofErr w:type="spellEnd"/>
      <w:r w:rsidR="00842757" w:rsidRPr="00FC055E">
        <w:rPr>
          <w:rFonts w:ascii="Arial" w:hAnsi="Arial" w:cs="Arial"/>
          <w:sz w:val="22"/>
          <w:szCs w:val="22"/>
        </w:rPr>
        <w:t>“ die vier Grundprinzipien, die für ein ausdifferenziertes Wissenschaftssystem konstitutiv sind, beschrieben („</w:t>
      </w:r>
      <w:proofErr w:type="spellStart"/>
      <w:r w:rsidR="00842757" w:rsidRPr="00FC055E">
        <w:rPr>
          <w:rFonts w:ascii="Arial" w:hAnsi="Arial" w:cs="Arial"/>
          <w:sz w:val="22"/>
          <w:szCs w:val="22"/>
        </w:rPr>
        <w:t>universalism</w:t>
      </w:r>
      <w:proofErr w:type="spellEnd"/>
      <w:r w:rsidR="00842757" w:rsidRPr="00FC055E">
        <w:rPr>
          <w:rFonts w:ascii="Arial" w:hAnsi="Arial" w:cs="Arial"/>
          <w:sz w:val="22"/>
          <w:szCs w:val="22"/>
        </w:rPr>
        <w:t>“, „</w:t>
      </w:r>
      <w:proofErr w:type="spellStart"/>
      <w:r w:rsidR="00842757" w:rsidRPr="00FC055E">
        <w:rPr>
          <w:rFonts w:ascii="Arial" w:hAnsi="Arial" w:cs="Arial"/>
          <w:sz w:val="22"/>
          <w:szCs w:val="22"/>
        </w:rPr>
        <w:t>communism</w:t>
      </w:r>
      <w:proofErr w:type="spellEnd"/>
      <w:r w:rsidR="00842757" w:rsidRPr="00FC055E">
        <w:rPr>
          <w:rFonts w:ascii="Arial" w:hAnsi="Arial" w:cs="Arial"/>
          <w:sz w:val="22"/>
          <w:szCs w:val="22"/>
        </w:rPr>
        <w:t>“, „</w:t>
      </w:r>
      <w:proofErr w:type="spellStart"/>
      <w:r w:rsidR="00842757" w:rsidRPr="00FC055E">
        <w:rPr>
          <w:rFonts w:ascii="Arial" w:hAnsi="Arial" w:cs="Arial"/>
          <w:sz w:val="22"/>
          <w:szCs w:val="22"/>
        </w:rPr>
        <w:t>disinterestedness</w:t>
      </w:r>
      <w:proofErr w:type="spellEnd"/>
      <w:r w:rsidR="00842757" w:rsidRPr="00FC055E">
        <w:rPr>
          <w:rFonts w:ascii="Arial" w:hAnsi="Arial" w:cs="Arial"/>
          <w:sz w:val="22"/>
          <w:szCs w:val="22"/>
        </w:rPr>
        <w:t>“ und „</w:t>
      </w:r>
      <w:proofErr w:type="spellStart"/>
      <w:r w:rsidR="00842757" w:rsidRPr="00FC055E">
        <w:rPr>
          <w:rFonts w:ascii="Arial" w:hAnsi="Arial" w:cs="Arial"/>
          <w:sz w:val="22"/>
          <w:szCs w:val="22"/>
        </w:rPr>
        <w:t>organized</w:t>
      </w:r>
      <w:proofErr w:type="spellEnd"/>
      <w:r w:rsidR="00842757" w:rsidRPr="00FC055E">
        <w:rPr>
          <w:rFonts w:ascii="Arial" w:hAnsi="Arial" w:cs="Arial"/>
          <w:sz w:val="22"/>
          <w:szCs w:val="22"/>
        </w:rPr>
        <w:t xml:space="preserve"> </w:t>
      </w:r>
      <w:proofErr w:type="spellStart"/>
      <w:r w:rsidR="00842757" w:rsidRPr="00FC055E">
        <w:rPr>
          <w:rFonts w:ascii="Arial" w:hAnsi="Arial" w:cs="Arial"/>
          <w:sz w:val="22"/>
          <w:szCs w:val="22"/>
        </w:rPr>
        <w:t>scepticism</w:t>
      </w:r>
      <w:proofErr w:type="spellEnd"/>
      <w:r w:rsidR="00842757" w:rsidRPr="00FC055E">
        <w:rPr>
          <w:rFonts w:ascii="Arial" w:hAnsi="Arial" w:cs="Arial"/>
          <w:sz w:val="22"/>
          <w:szCs w:val="22"/>
        </w:rPr>
        <w:t xml:space="preserve">“). Für unseren Zusammenhang ist das Konzept des „Universalismus“ besonders bedeutsam. Damit ist gemeint, dass die Qualität wissenschaftlicher „Produkte“ (z.B. in Form von Veröffentlichungen und Erfindungen) unabhängig von dem jeweiligen Autor bzw. </w:t>
      </w:r>
      <w:r w:rsidR="00CD26A8">
        <w:rPr>
          <w:rFonts w:ascii="Arial" w:hAnsi="Arial" w:cs="Arial"/>
          <w:sz w:val="22"/>
          <w:szCs w:val="22"/>
        </w:rPr>
        <w:t>Erfinder beurteilt werden soll</w:t>
      </w:r>
      <w:r w:rsidR="00842757" w:rsidRPr="00FC055E">
        <w:rPr>
          <w:rFonts w:ascii="Arial" w:hAnsi="Arial" w:cs="Arial"/>
          <w:sz w:val="22"/>
          <w:szCs w:val="22"/>
        </w:rPr>
        <w:t>. Weder das Geschlecht, die soziale, nationale oder ethnische Herkunft, noch die Religion oder die wissenschaftliche Reputation sollen bei der Qualitätsbeurteilung eine Rolle spielen. Legt man dieses Kriterium zugrunde, dann kann die von uns gefundene Diskriminierung von Bewerbern auf der Basis ihrer Herkunft einen unterschiedlichen Grad der Legitimität für sich beanspruchen. Für eine Auswahl der Bewerber anhand ihres Herkunftsinstituts ist die Legitimität am höchsten, weil man davon ausgehen kann, dass die Forschungsleistung eines soziologischen Instituts die fachliche Qualität ihrer Doktoranden mitbestimmt. Eine statistische Diskriminierung auf der Grundlage der wissenschaftlichen Reputation eines ganzen Landes kann hingegen den geringsten Grad an Legitimität für sich beanspruchen, weil diese am wenigsten mit dem individuellen Forschungsprofil eines Doktoranden zu tun hat und eher ein askriptives Merkmal darstellt. Unsere Studie weist mithin auf den normativ problematischen Sachverhalt hin, dass in erster Linie die nationale Herkunft von Doktoranden ihre Chancen auf internationale Hochschulmobilität beeinflusst.</w:t>
      </w:r>
    </w:p>
    <w:p w14:paraId="703CC3DA" w14:textId="77777777" w:rsidR="00842757" w:rsidRPr="00FC055E" w:rsidRDefault="00842757" w:rsidP="00D32FA1">
      <w:pPr>
        <w:spacing w:after="160" w:line="360" w:lineRule="auto"/>
        <w:jc w:val="both"/>
        <w:rPr>
          <w:rFonts w:ascii="Arial" w:hAnsi="Arial" w:cs="Arial"/>
          <w:b/>
          <w:noProof/>
          <w:sz w:val="22"/>
          <w:szCs w:val="22"/>
          <w:lang w:val="en-GB"/>
        </w:rPr>
      </w:pPr>
      <w:r w:rsidRPr="00C4044B">
        <w:rPr>
          <w:rFonts w:ascii="Arial" w:hAnsi="Arial" w:cs="Arial"/>
          <w:b/>
          <w:sz w:val="22"/>
          <w:szCs w:val="22"/>
          <w:lang w:val="en-US"/>
        </w:rPr>
        <w:br w:type="column"/>
      </w:r>
      <w:r w:rsidRPr="00FC055E">
        <w:rPr>
          <w:rFonts w:ascii="Arial" w:hAnsi="Arial" w:cs="Arial"/>
          <w:b/>
          <w:noProof/>
          <w:sz w:val="22"/>
          <w:szCs w:val="22"/>
          <w:lang w:val="en-GB"/>
        </w:rPr>
        <w:lastRenderedPageBreak/>
        <w:t xml:space="preserve">Literatur </w:t>
      </w:r>
    </w:p>
    <w:p w14:paraId="66326686" w14:textId="77777777" w:rsidR="00842757" w:rsidRPr="00FC055E" w:rsidRDefault="00875264" w:rsidP="00287351">
      <w:pPr>
        <w:ind w:left="709" w:hanging="709"/>
        <w:rPr>
          <w:rFonts w:ascii="Arial" w:hAnsi="Arial" w:cs="Arial"/>
          <w:noProof/>
          <w:sz w:val="22"/>
          <w:szCs w:val="22"/>
          <w:lang w:val="en-GB"/>
        </w:rPr>
      </w:pPr>
      <w:r>
        <w:rPr>
          <w:rFonts w:ascii="Arial" w:hAnsi="Arial" w:cs="Arial"/>
          <w:noProof/>
          <w:sz w:val="22"/>
          <w:szCs w:val="22"/>
          <w:lang w:val="en-GB"/>
        </w:rPr>
        <w:t>Baldi, Stéphane. 1995.</w:t>
      </w:r>
      <w:r w:rsidR="00842757" w:rsidRPr="00FC055E">
        <w:rPr>
          <w:rFonts w:ascii="Arial" w:hAnsi="Arial" w:cs="Arial"/>
          <w:noProof/>
          <w:sz w:val="22"/>
          <w:szCs w:val="22"/>
          <w:lang w:val="en-GB"/>
        </w:rPr>
        <w:t xml:space="preserve"> Prestige Determinants of First Academic Job for New Sociology Ph.D.s 1985-1992. </w:t>
      </w:r>
      <w:r w:rsidR="00842757" w:rsidRPr="00875264">
        <w:rPr>
          <w:rFonts w:ascii="Arial" w:hAnsi="Arial" w:cs="Arial"/>
          <w:i/>
          <w:noProof/>
          <w:sz w:val="22"/>
          <w:szCs w:val="22"/>
          <w:lang w:val="en-GB"/>
        </w:rPr>
        <w:t>The Sociological Quarterly</w:t>
      </w:r>
      <w:r w:rsidR="00842757" w:rsidRPr="00FC055E">
        <w:rPr>
          <w:rFonts w:ascii="Arial" w:hAnsi="Arial" w:cs="Arial"/>
          <w:noProof/>
          <w:sz w:val="22"/>
          <w:szCs w:val="22"/>
          <w:lang w:val="en-GB"/>
        </w:rPr>
        <w:t xml:space="preserve"> 36(4): 777-789.</w:t>
      </w:r>
    </w:p>
    <w:p w14:paraId="369404E9" w14:textId="77777777" w:rsidR="00842757" w:rsidRPr="00FC055E" w:rsidRDefault="00875264" w:rsidP="00287351">
      <w:pPr>
        <w:ind w:left="709" w:hanging="709"/>
        <w:rPr>
          <w:rFonts w:ascii="Arial" w:hAnsi="Arial" w:cs="Arial"/>
          <w:noProof/>
          <w:sz w:val="22"/>
          <w:szCs w:val="22"/>
          <w:lang w:val="en-GB"/>
        </w:rPr>
      </w:pPr>
      <w:r>
        <w:rPr>
          <w:rFonts w:ascii="Arial" w:hAnsi="Arial" w:cs="Arial"/>
          <w:noProof/>
          <w:sz w:val="22"/>
          <w:szCs w:val="22"/>
          <w:lang w:val="en-GB"/>
        </w:rPr>
        <w:t>Becker, Gary S. 1971.</w:t>
      </w:r>
      <w:r w:rsidR="00842757" w:rsidRPr="00FC055E">
        <w:rPr>
          <w:rFonts w:ascii="Arial" w:hAnsi="Arial" w:cs="Arial"/>
          <w:noProof/>
          <w:sz w:val="22"/>
          <w:szCs w:val="22"/>
          <w:lang w:val="en-GB"/>
        </w:rPr>
        <w:t xml:space="preserve"> </w:t>
      </w:r>
      <w:r w:rsidR="00842757" w:rsidRPr="00875264">
        <w:rPr>
          <w:rFonts w:ascii="Arial" w:hAnsi="Arial" w:cs="Arial"/>
          <w:i/>
          <w:noProof/>
          <w:sz w:val="22"/>
          <w:szCs w:val="22"/>
          <w:lang w:val="en-GB"/>
        </w:rPr>
        <w:t>The Economics of Discrimination</w:t>
      </w:r>
      <w:r w:rsidR="00842757" w:rsidRPr="00FC055E">
        <w:rPr>
          <w:rFonts w:ascii="Arial" w:hAnsi="Arial" w:cs="Arial"/>
          <w:noProof/>
          <w:sz w:val="22"/>
          <w:szCs w:val="22"/>
          <w:lang w:val="en-GB"/>
        </w:rPr>
        <w:t>. Chicago &amp; London: University of Chicago Press.</w:t>
      </w:r>
    </w:p>
    <w:p w14:paraId="678D3D80" w14:textId="77777777" w:rsidR="00842757" w:rsidRPr="00ED5B0E" w:rsidRDefault="00842757" w:rsidP="00287351">
      <w:pPr>
        <w:ind w:left="709" w:hanging="709"/>
        <w:rPr>
          <w:rFonts w:ascii="Arial" w:hAnsi="Arial" w:cs="Arial"/>
          <w:noProof/>
          <w:sz w:val="22"/>
          <w:szCs w:val="22"/>
        </w:rPr>
      </w:pPr>
      <w:r w:rsidRPr="00FC055E">
        <w:rPr>
          <w:rFonts w:ascii="Arial" w:hAnsi="Arial" w:cs="Arial"/>
          <w:noProof/>
          <w:sz w:val="22"/>
          <w:szCs w:val="22"/>
          <w:lang w:val="en-GB"/>
        </w:rPr>
        <w:t xml:space="preserve">Bedeian, Arthur G., </w:t>
      </w:r>
      <w:r w:rsidR="00875264">
        <w:rPr>
          <w:rFonts w:ascii="Arial" w:hAnsi="Arial" w:cs="Arial"/>
          <w:noProof/>
          <w:sz w:val="22"/>
          <w:szCs w:val="22"/>
          <w:lang w:val="en-GB"/>
        </w:rPr>
        <w:t>David E. Cavazos, James Hunt und Lawrence R. Jauch. 2010.</w:t>
      </w:r>
      <w:r w:rsidRPr="00FC055E">
        <w:rPr>
          <w:rFonts w:ascii="Arial" w:hAnsi="Arial" w:cs="Arial"/>
          <w:noProof/>
          <w:sz w:val="22"/>
          <w:szCs w:val="22"/>
          <w:lang w:val="en-GB"/>
        </w:rPr>
        <w:t xml:space="preserve"> Doctoral Degree Prestige and the Academic Marketplace: A Study of Career Mobility Within the Management Discipline. </w:t>
      </w:r>
      <w:r w:rsidRPr="00ED5B0E">
        <w:rPr>
          <w:rFonts w:ascii="Arial" w:hAnsi="Arial" w:cs="Arial"/>
          <w:i/>
          <w:noProof/>
          <w:sz w:val="22"/>
          <w:szCs w:val="22"/>
        </w:rPr>
        <w:t>Academy of Management Learning &amp; Education</w:t>
      </w:r>
      <w:r w:rsidRPr="00ED5B0E">
        <w:rPr>
          <w:rFonts w:ascii="Arial" w:hAnsi="Arial" w:cs="Arial"/>
          <w:noProof/>
          <w:sz w:val="22"/>
          <w:szCs w:val="22"/>
        </w:rPr>
        <w:t xml:space="preserve"> 9(1): 11-25.</w:t>
      </w:r>
    </w:p>
    <w:p w14:paraId="6B3D339B" w14:textId="77777777" w:rsidR="00842757" w:rsidRPr="00451E04" w:rsidRDefault="00875264" w:rsidP="00287351">
      <w:pPr>
        <w:ind w:left="709" w:hanging="709"/>
        <w:rPr>
          <w:rFonts w:ascii="Arial" w:hAnsi="Arial" w:cs="Arial"/>
          <w:noProof/>
          <w:sz w:val="22"/>
          <w:szCs w:val="22"/>
          <w:lang w:val="fr-FR"/>
        </w:rPr>
      </w:pPr>
      <w:r>
        <w:rPr>
          <w:rFonts w:ascii="Arial" w:hAnsi="Arial" w:cs="Arial"/>
          <w:noProof/>
          <w:sz w:val="22"/>
          <w:szCs w:val="22"/>
        </w:rPr>
        <w:t>Bourdieu, Pierre. 1982.</w:t>
      </w:r>
      <w:r w:rsidR="00842757" w:rsidRPr="00FC055E">
        <w:rPr>
          <w:rFonts w:ascii="Arial" w:hAnsi="Arial" w:cs="Arial"/>
          <w:noProof/>
          <w:sz w:val="22"/>
          <w:szCs w:val="22"/>
        </w:rPr>
        <w:t xml:space="preserve"> </w:t>
      </w:r>
      <w:r w:rsidR="00842757" w:rsidRPr="00875264">
        <w:rPr>
          <w:rFonts w:ascii="Arial" w:hAnsi="Arial" w:cs="Arial"/>
          <w:i/>
          <w:noProof/>
          <w:sz w:val="22"/>
          <w:szCs w:val="22"/>
        </w:rPr>
        <w:t>Die feinen Unterschiede. Kritik der gesellschaftlichen Urteilskraft</w:t>
      </w:r>
      <w:r>
        <w:rPr>
          <w:rFonts w:ascii="Arial" w:hAnsi="Arial" w:cs="Arial"/>
          <w:noProof/>
          <w:sz w:val="22"/>
          <w:szCs w:val="22"/>
        </w:rPr>
        <w:t xml:space="preserve">. </w:t>
      </w:r>
      <w:r w:rsidRPr="00451E04">
        <w:rPr>
          <w:rFonts w:ascii="Arial" w:hAnsi="Arial" w:cs="Arial"/>
          <w:noProof/>
          <w:sz w:val="22"/>
          <w:szCs w:val="22"/>
          <w:lang w:val="fr-FR"/>
        </w:rPr>
        <w:t>Frankfurt a. M.</w:t>
      </w:r>
      <w:r w:rsidR="00842757" w:rsidRPr="00451E04">
        <w:rPr>
          <w:rFonts w:ascii="Arial" w:hAnsi="Arial" w:cs="Arial"/>
          <w:noProof/>
          <w:sz w:val="22"/>
          <w:szCs w:val="22"/>
          <w:lang w:val="fr-FR"/>
        </w:rPr>
        <w:t>: Suhrkamp.</w:t>
      </w:r>
    </w:p>
    <w:p w14:paraId="439FD2AF" w14:textId="77777777" w:rsidR="00BB2539" w:rsidRPr="00451E04" w:rsidRDefault="00875264" w:rsidP="00287351">
      <w:pPr>
        <w:ind w:left="709" w:hanging="709"/>
        <w:rPr>
          <w:rFonts w:ascii="Arial" w:hAnsi="Arial" w:cs="Arial"/>
          <w:noProof/>
          <w:sz w:val="22"/>
          <w:szCs w:val="22"/>
          <w:lang w:val="fr-FR"/>
        </w:rPr>
      </w:pPr>
      <w:r w:rsidRPr="00451E04">
        <w:rPr>
          <w:rFonts w:ascii="Arial" w:hAnsi="Arial" w:cs="Arial"/>
          <w:noProof/>
          <w:sz w:val="22"/>
          <w:szCs w:val="22"/>
          <w:lang w:val="fr-FR"/>
        </w:rPr>
        <w:t>Bourdieu, Pierre.</w:t>
      </w:r>
      <w:r w:rsidR="00BB2539" w:rsidRPr="00451E04">
        <w:rPr>
          <w:rFonts w:ascii="Arial" w:hAnsi="Arial" w:cs="Arial"/>
          <w:noProof/>
          <w:sz w:val="22"/>
          <w:szCs w:val="22"/>
          <w:lang w:val="fr-FR"/>
        </w:rPr>
        <w:t xml:space="preserve"> 1988</w:t>
      </w:r>
      <w:r w:rsidRPr="00451E04">
        <w:rPr>
          <w:rFonts w:ascii="Arial" w:hAnsi="Arial" w:cs="Arial"/>
          <w:noProof/>
          <w:sz w:val="22"/>
          <w:szCs w:val="22"/>
          <w:lang w:val="fr-FR"/>
        </w:rPr>
        <w:t>.</w:t>
      </w:r>
      <w:r w:rsidR="00BB2539" w:rsidRPr="00451E04">
        <w:rPr>
          <w:rFonts w:ascii="Arial" w:hAnsi="Arial" w:cs="Arial"/>
          <w:noProof/>
          <w:sz w:val="22"/>
          <w:szCs w:val="22"/>
          <w:lang w:val="fr-FR"/>
        </w:rPr>
        <w:t xml:space="preserve"> </w:t>
      </w:r>
      <w:r w:rsidR="00BB2539" w:rsidRPr="00451E04">
        <w:rPr>
          <w:rFonts w:ascii="Arial" w:hAnsi="Arial" w:cs="Arial"/>
          <w:i/>
          <w:noProof/>
          <w:sz w:val="22"/>
          <w:szCs w:val="22"/>
          <w:lang w:val="fr-FR"/>
        </w:rPr>
        <w:t>Homo Academicus</w:t>
      </w:r>
      <w:r w:rsidRPr="00451E04">
        <w:rPr>
          <w:rFonts w:ascii="Arial" w:hAnsi="Arial" w:cs="Arial"/>
          <w:noProof/>
          <w:sz w:val="22"/>
          <w:szCs w:val="22"/>
          <w:lang w:val="fr-FR"/>
        </w:rPr>
        <w:t>. Frankfurt a. M.</w:t>
      </w:r>
      <w:r w:rsidR="00BB2539" w:rsidRPr="00451E04">
        <w:rPr>
          <w:rFonts w:ascii="Arial" w:hAnsi="Arial" w:cs="Arial"/>
          <w:noProof/>
          <w:sz w:val="22"/>
          <w:szCs w:val="22"/>
          <w:lang w:val="fr-FR"/>
        </w:rPr>
        <w:t>: Suhrkamp.</w:t>
      </w:r>
    </w:p>
    <w:p w14:paraId="65625671" w14:textId="77777777" w:rsidR="003A79C0" w:rsidRPr="00FC055E" w:rsidRDefault="00875264" w:rsidP="00287351">
      <w:pPr>
        <w:ind w:left="709" w:hanging="709"/>
        <w:rPr>
          <w:rFonts w:ascii="Arial" w:hAnsi="Arial" w:cs="Arial"/>
          <w:noProof/>
          <w:sz w:val="22"/>
          <w:szCs w:val="22"/>
        </w:rPr>
      </w:pPr>
      <w:r w:rsidRPr="00451E04">
        <w:rPr>
          <w:rFonts w:ascii="Arial" w:hAnsi="Arial" w:cs="Arial"/>
          <w:noProof/>
          <w:sz w:val="22"/>
          <w:szCs w:val="22"/>
          <w:lang w:val="fr-FR"/>
        </w:rPr>
        <w:t xml:space="preserve">Bourdieu, Pierre. </w:t>
      </w:r>
      <w:r>
        <w:rPr>
          <w:rFonts w:ascii="Arial" w:hAnsi="Arial" w:cs="Arial"/>
          <w:noProof/>
          <w:sz w:val="22"/>
          <w:szCs w:val="22"/>
        </w:rPr>
        <w:t>1998.</w:t>
      </w:r>
      <w:r w:rsidR="003A79C0" w:rsidRPr="00FC055E">
        <w:rPr>
          <w:rFonts w:ascii="Arial" w:hAnsi="Arial" w:cs="Arial"/>
          <w:noProof/>
          <w:sz w:val="22"/>
          <w:szCs w:val="22"/>
        </w:rPr>
        <w:t xml:space="preserve"> </w:t>
      </w:r>
      <w:r w:rsidR="003A79C0" w:rsidRPr="00875264">
        <w:rPr>
          <w:rFonts w:ascii="Arial" w:hAnsi="Arial" w:cs="Arial"/>
          <w:i/>
          <w:noProof/>
          <w:sz w:val="22"/>
          <w:szCs w:val="22"/>
        </w:rPr>
        <w:t>Vom Gebrauch der Wissenschaft. Für eine klinische Soziologie des wissenschaftlichen Feldes</w:t>
      </w:r>
      <w:r w:rsidR="003A79C0" w:rsidRPr="00FC055E">
        <w:rPr>
          <w:rFonts w:ascii="Arial" w:hAnsi="Arial" w:cs="Arial"/>
          <w:noProof/>
          <w:sz w:val="22"/>
          <w:szCs w:val="22"/>
        </w:rPr>
        <w:t>. Konstanz: UVK.</w:t>
      </w:r>
    </w:p>
    <w:p w14:paraId="089B2936" w14:textId="77777777" w:rsidR="00BB2539" w:rsidRPr="00FC055E" w:rsidRDefault="00875264" w:rsidP="00287351">
      <w:pPr>
        <w:ind w:left="709" w:hanging="709"/>
        <w:rPr>
          <w:rFonts w:ascii="Arial" w:hAnsi="Arial" w:cs="Arial"/>
          <w:noProof/>
          <w:sz w:val="22"/>
          <w:szCs w:val="22"/>
        </w:rPr>
      </w:pPr>
      <w:r>
        <w:rPr>
          <w:rFonts w:ascii="Arial" w:hAnsi="Arial" w:cs="Arial"/>
          <w:noProof/>
          <w:sz w:val="22"/>
          <w:szCs w:val="22"/>
        </w:rPr>
        <w:t>Bourdieu, Pierre. 2004.</w:t>
      </w:r>
      <w:r w:rsidR="00BB2539" w:rsidRPr="00FC055E">
        <w:rPr>
          <w:rFonts w:ascii="Arial" w:hAnsi="Arial" w:cs="Arial"/>
          <w:noProof/>
          <w:sz w:val="22"/>
          <w:szCs w:val="22"/>
        </w:rPr>
        <w:t xml:space="preserve"> </w:t>
      </w:r>
      <w:r w:rsidR="00BB2539" w:rsidRPr="00875264">
        <w:rPr>
          <w:rFonts w:ascii="Arial" w:hAnsi="Arial" w:cs="Arial"/>
          <w:i/>
          <w:noProof/>
          <w:sz w:val="22"/>
          <w:szCs w:val="22"/>
        </w:rPr>
        <w:t>Der Staatsadel</w:t>
      </w:r>
      <w:r w:rsidR="00BB2539" w:rsidRPr="00FC055E">
        <w:rPr>
          <w:rFonts w:ascii="Arial" w:hAnsi="Arial" w:cs="Arial"/>
          <w:noProof/>
          <w:sz w:val="22"/>
          <w:szCs w:val="22"/>
        </w:rPr>
        <w:t>. Konstanz: UVK.</w:t>
      </w:r>
    </w:p>
    <w:p w14:paraId="4388AF45" w14:textId="77777777" w:rsidR="00842757" w:rsidRPr="00FC055E" w:rsidRDefault="00842757" w:rsidP="00287351">
      <w:pPr>
        <w:ind w:left="709" w:hanging="709"/>
        <w:rPr>
          <w:rFonts w:ascii="Arial" w:hAnsi="Arial" w:cs="Arial"/>
          <w:noProof/>
          <w:sz w:val="22"/>
          <w:szCs w:val="22"/>
          <w:lang w:val="en-GB"/>
        </w:rPr>
      </w:pPr>
      <w:r w:rsidRPr="00FC055E">
        <w:rPr>
          <w:rFonts w:ascii="Arial" w:hAnsi="Arial" w:cs="Arial"/>
          <w:noProof/>
          <w:sz w:val="22"/>
          <w:szCs w:val="22"/>
        </w:rPr>
        <w:t xml:space="preserve">Brewer, Dominic J., </w:t>
      </w:r>
      <w:r w:rsidR="00875264">
        <w:rPr>
          <w:rFonts w:ascii="Arial" w:hAnsi="Arial" w:cs="Arial"/>
          <w:noProof/>
          <w:sz w:val="22"/>
          <w:szCs w:val="22"/>
        </w:rPr>
        <w:t xml:space="preserve">Erich R. Eide und Ronald G. Ehrenberg. </w:t>
      </w:r>
      <w:r w:rsidR="00875264" w:rsidRPr="007D4BB1">
        <w:rPr>
          <w:rFonts w:ascii="Arial" w:hAnsi="Arial" w:cs="Arial"/>
          <w:noProof/>
          <w:sz w:val="22"/>
          <w:szCs w:val="22"/>
          <w:lang w:val="en-US"/>
        </w:rPr>
        <w:t>1999.</w:t>
      </w:r>
      <w:r w:rsidRPr="007D4BB1">
        <w:rPr>
          <w:rFonts w:ascii="Arial" w:hAnsi="Arial" w:cs="Arial"/>
          <w:noProof/>
          <w:sz w:val="22"/>
          <w:szCs w:val="22"/>
          <w:lang w:val="en-US"/>
        </w:rPr>
        <w:t xml:space="preserve"> Does It Pay to Attend an Elite Private College? </w:t>
      </w:r>
      <w:r w:rsidRPr="00FC055E">
        <w:rPr>
          <w:rFonts w:ascii="Arial" w:hAnsi="Arial" w:cs="Arial"/>
          <w:noProof/>
          <w:sz w:val="22"/>
          <w:szCs w:val="22"/>
          <w:lang w:val="en-GB"/>
        </w:rPr>
        <w:t xml:space="preserve">Cross-Cohort Evidence on the Effects of College Type on Earnings. </w:t>
      </w:r>
      <w:r w:rsidRPr="00875264">
        <w:rPr>
          <w:rFonts w:ascii="Arial" w:hAnsi="Arial" w:cs="Arial"/>
          <w:i/>
          <w:noProof/>
          <w:sz w:val="22"/>
          <w:szCs w:val="22"/>
          <w:lang w:val="en-GB"/>
        </w:rPr>
        <w:t>The Journal of Human Resources</w:t>
      </w:r>
      <w:r w:rsidRPr="00FC055E">
        <w:rPr>
          <w:rFonts w:ascii="Arial" w:hAnsi="Arial" w:cs="Arial"/>
          <w:noProof/>
          <w:sz w:val="22"/>
          <w:szCs w:val="22"/>
          <w:lang w:val="en-GB"/>
        </w:rPr>
        <w:t xml:space="preserve"> 34(1): 104-123.</w:t>
      </w:r>
    </w:p>
    <w:p w14:paraId="6DB8BBD0" w14:textId="77777777" w:rsidR="00E431A9" w:rsidRPr="00875264" w:rsidRDefault="00875264" w:rsidP="00875264">
      <w:pPr>
        <w:ind w:left="709" w:hanging="709"/>
        <w:rPr>
          <w:rFonts w:ascii="Arial" w:hAnsi="Arial" w:cs="Arial"/>
          <w:noProof/>
          <w:sz w:val="22"/>
          <w:szCs w:val="22"/>
          <w:lang w:val="en-GB"/>
        </w:rPr>
      </w:pPr>
      <w:r>
        <w:rPr>
          <w:rFonts w:ascii="Arial" w:hAnsi="Arial" w:cs="Arial"/>
          <w:noProof/>
          <w:sz w:val="22"/>
          <w:szCs w:val="22"/>
          <w:lang w:val="en-GB"/>
        </w:rPr>
        <w:t>Burris, Val. 2004.</w:t>
      </w:r>
      <w:r w:rsidR="00842757" w:rsidRPr="00FC055E">
        <w:rPr>
          <w:rFonts w:ascii="Arial" w:hAnsi="Arial" w:cs="Arial"/>
          <w:noProof/>
          <w:sz w:val="22"/>
          <w:szCs w:val="22"/>
          <w:lang w:val="en-GB"/>
        </w:rPr>
        <w:t xml:space="preserve"> The Academic Caste System: Prestige Hierarchies in PhD Exchange Networks. </w:t>
      </w:r>
      <w:r w:rsidR="00842757" w:rsidRPr="00875264">
        <w:rPr>
          <w:rFonts w:ascii="Arial" w:hAnsi="Arial" w:cs="Arial"/>
          <w:i/>
          <w:noProof/>
          <w:sz w:val="22"/>
          <w:szCs w:val="22"/>
          <w:lang w:val="en-GB"/>
        </w:rPr>
        <w:t>American Sociological Review</w:t>
      </w:r>
      <w:r w:rsidR="00842757" w:rsidRPr="00FC055E">
        <w:rPr>
          <w:rFonts w:ascii="Arial" w:hAnsi="Arial" w:cs="Arial"/>
          <w:noProof/>
          <w:sz w:val="22"/>
          <w:szCs w:val="22"/>
          <w:lang w:val="en-GB"/>
        </w:rPr>
        <w:t xml:space="preserve"> 69(2): 239-264.</w:t>
      </w:r>
    </w:p>
    <w:p w14:paraId="6309FAEB" w14:textId="77777777" w:rsidR="00EA60A6" w:rsidRPr="00FC055E" w:rsidRDefault="00EA60A6" w:rsidP="00D9736D">
      <w:pPr>
        <w:autoSpaceDE w:val="0"/>
        <w:autoSpaceDN w:val="0"/>
        <w:adjustRightInd w:val="0"/>
        <w:ind w:left="709" w:hanging="709"/>
        <w:rPr>
          <w:rFonts w:ascii="Arial" w:hAnsi="Arial" w:cs="Arial"/>
          <w:bCs/>
          <w:noProof/>
          <w:sz w:val="22"/>
          <w:szCs w:val="22"/>
          <w:lang w:val="en-GB"/>
        </w:rPr>
      </w:pPr>
      <w:r w:rsidRPr="00FC055E">
        <w:rPr>
          <w:rFonts w:ascii="Arial" w:hAnsi="Arial" w:cs="Arial"/>
          <w:sz w:val="22"/>
          <w:szCs w:val="22"/>
          <w:lang w:val="en-US" w:eastAsia="de-DE"/>
        </w:rPr>
        <w:t>Chase-Dunn</w:t>
      </w:r>
      <w:r w:rsidR="00E431A9" w:rsidRPr="00FC055E">
        <w:rPr>
          <w:rFonts w:ascii="Arial" w:hAnsi="Arial" w:cs="Arial"/>
          <w:sz w:val="22"/>
          <w:szCs w:val="22"/>
          <w:lang w:val="en-US" w:eastAsia="de-DE"/>
        </w:rPr>
        <w:t>,</w:t>
      </w:r>
      <w:r w:rsidRPr="00FC055E">
        <w:rPr>
          <w:rFonts w:ascii="Arial" w:hAnsi="Arial" w:cs="Arial"/>
          <w:sz w:val="22"/>
          <w:szCs w:val="22"/>
          <w:lang w:val="en-US" w:eastAsia="de-DE"/>
        </w:rPr>
        <w:t xml:space="preserve"> C</w:t>
      </w:r>
      <w:r w:rsidR="00875264">
        <w:rPr>
          <w:rFonts w:ascii="Arial" w:hAnsi="Arial" w:cs="Arial"/>
          <w:sz w:val="22"/>
          <w:szCs w:val="22"/>
          <w:lang w:val="en-US" w:eastAsia="de-DE"/>
        </w:rPr>
        <w:t>hristopher, und Peter Grimes.</w:t>
      </w:r>
      <w:r w:rsidRPr="00FC055E">
        <w:rPr>
          <w:rFonts w:ascii="Arial" w:hAnsi="Arial" w:cs="Arial"/>
          <w:sz w:val="22"/>
          <w:szCs w:val="22"/>
          <w:lang w:val="en-US" w:eastAsia="de-DE"/>
        </w:rPr>
        <w:t xml:space="preserve"> 1995</w:t>
      </w:r>
      <w:r w:rsidR="00875264">
        <w:rPr>
          <w:rFonts w:ascii="Arial" w:hAnsi="Arial" w:cs="Arial"/>
          <w:sz w:val="22"/>
          <w:szCs w:val="22"/>
          <w:lang w:val="en-US" w:eastAsia="de-DE"/>
        </w:rPr>
        <w:t>.</w:t>
      </w:r>
      <w:r w:rsidRPr="00FC055E">
        <w:rPr>
          <w:rFonts w:ascii="Arial" w:hAnsi="Arial" w:cs="Arial"/>
          <w:sz w:val="22"/>
          <w:szCs w:val="22"/>
          <w:lang w:val="en-US" w:eastAsia="de-DE"/>
        </w:rPr>
        <w:t xml:space="preserve"> World-Systems Analysis. </w:t>
      </w:r>
      <w:r w:rsidRPr="00FC055E">
        <w:rPr>
          <w:rFonts w:ascii="Arial" w:hAnsi="Arial" w:cs="Arial"/>
          <w:i/>
          <w:iCs/>
          <w:sz w:val="22"/>
          <w:szCs w:val="22"/>
          <w:lang w:val="en-US" w:eastAsia="de-DE"/>
        </w:rPr>
        <w:t xml:space="preserve">Annual Review of Sociology </w:t>
      </w:r>
      <w:r w:rsidRPr="00FC055E">
        <w:rPr>
          <w:rFonts w:ascii="Arial" w:hAnsi="Arial" w:cs="Arial"/>
          <w:sz w:val="22"/>
          <w:szCs w:val="22"/>
          <w:lang w:val="en-US" w:eastAsia="de-DE"/>
        </w:rPr>
        <w:t>21: 387-417.</w:t>
      </w:r>
    </w:p>
    <w:p w14:paraId="10EBF9FE" w14:textId="77777777" w:rsidR="00842757" w:rsidRPr="00FC055E" w:rsidRDefault="00875264" w:rsidP="00287351">
      <w:pPr>
        <w:autoSpaceDE w:val="0"/>
        <w:autoSpaceDN w:val="0"/>
        <w:adjustRightInd w:val="0"/>
        <w:ind w:left="709" w:hanging="709"/>
        <w:rPr>
          <w:rFonts w:ascii="Arial" w:hAnsi="Arial" w:cs="Arial"/>
          <w:b/>
          <w:bCs/>
          <w:noProof/>
          <w:sz w:val="22"/>
          <w:szCs w:val="22"/>
          <w:lang w:val="en-GB"/>
        </w:rPr>
      </w:pPr>
      <w:r w:rsidRPr="00C4044B">
        <w:rPr>
          <w:rFonts w:ascii="Arial" w:hAnsi="Arial" w:cs="Arial"/>
          <w:bCs/>
          <w:noProof/>
          <w:sz w:val="22"/>
          <w:szCs w:val="22"/>
          <w:lang w:val="en-US"/>
        </w:rPr>
        <w:t>Chen, Tse-Mei, und George A. Barnett.</w:t>
      </w:r>
      <w:r w:rsidR="00842757" w:rsidRPr="00C4044B">
        <w:rPr>
          <w:rFonts w:ascii="Arial" w:hAnsi="Arial" w:cs="Arial"/>
          <w:bCs/>
          <w:noProof/>
          <w:sz w:val="22"/>
          <w:szCs w:val="22"/>
          <w:lang w:val="en-US"/>
        </w:rPr>
        <w:t xml:space="preserve"> </w:t>
      </w:r>
      <w:r w:rsidR="00842757" w:rsidRPr="00FC055E">
        <w:rPr>
          <w:rFonts w:ascii="Arial" w:hAnsi="Arial" w:cs="Arial"/>
          <w:bCs/>
          <w:noProof/>
          <w:sz w:val="22"/>
          <w:szCs w:val="22"/>
          <w:lang w:val="en-GB"/>
        </w:rPr>
        <w:t>2000</w:t>
      </w:r>
      <w:r>
        <w:rPr>
          <w:rFonts w:ascii="Arial" w:hAnsi="Arial" w:cs="Arial"/>
          <w:noProof/>
          <w:sz w:val="22"/>
          <w:szCs w:val="22"/>
          <w:lang w:val="en-GB"/>
        </w:rPr>
        <w:t>.</w:t>
      </w:r>
      <w:r w:rsidR="00842757" w:rsidRPr="00FC055E">
        <w:rPr>
          <w:rFonts w:ascii="Arial" w:hAnsi="Arial" w:cs="Arial"/>
          <w:noProof/>
          <w:sz w:val="22"/>
          <w:szCs w:val="22"/>
          <w:lang w:val="en-GB"/>
        </w:rPr>
        <w:t xml:space="preserve"> </w:t>
      </w:r>
      <w:r w:rsidR="00842757" w:rsidRPr="00FC055E">
        <w:rPr>
          <w:rFonts w:ascii="Arial" w:hAnsi="Arial" w:cs="Arial"/>
          <w:bCs/>
          <w:noProof/>
          <w:sz w:val="22"/>
          <w:szCs w:val="22"/>
          <w:lang w:val="en-GB"/>
        </w:rPr>
        <w:t xml:space="preserve">Research on international student flows from a macro perspective: A network analysis of 1985, 1989 and 1995. </w:t>
      </w:r>
      <w:r w:rsidR="00842757" w:rsidRPr="00875264">
        <w:rPr>
          <w:rFonts w:ascii="Arial" w:hAnsi="Arial" w:cs="Arial"/>
          <w:i/>
          <w:iCs/>
          <w:noProof/>
          <w:sz w:val="22"/>
          <w:szCs w:val="22"/>
          <w:lang w:val="en-GB"/>
        </w:rPr>
        <w:t>Higher Education</w:t>
      </w:r>
      <w:r w:rsidR="00842757" w:rsidRPr="00FC055E">
        <w:rPr>
          <w:rFonts w:ascii="Arial" w:hAnsi="Arial" w:cs="Arial"/>
          <w:i/>
          <w:iCs/>
          <w:noProof/>
          <w:sz w:val="22"/>
          <w:szCs w:val="22"/>
          <w:lang w:val="en-GB"/>
        </w:rPr>
        <w:t xml:space="preserve"> </w:t>
      </w:r>
      <w:r w:rsidR="00842757" w:rsidRPr="00FC055E">
        <w:rPr>
          <w:rFonts w:ascii="Arial" w:hAnsi="Arial" w:cs="Arial"/>
          <w:bCs/>
          <w:noProof/>
          <w:sz w:val="22"/>
          <w:szCs w:val="22"/>
          <w:lang w:val="en-GB"/>
        </w:rPr>
        <w:t>39:</w:t>
      </w:r>
      <w:r w:rsidR="00842757" w:rsidRPr="00FC055E">
        <w:rPr>
          <w:rFonts w:ascii="Arial" w:hAnsi="Arial" w:cs="Arial"/>
          <w:b/>
          <w:bCs/>
          <w:noProof/>
          <w:sz w:val="22"/>
          <w:szCs w:val="22"/>
          <w:lang w:val="en-GB"/>
        </w:rPr>
        <w:t xml:space="preserve"> </w:t>
      </w:r>
      <w:r>
        <w:rPr>
          <w:rFonts w:ascii="Arial" w:hAnsi="Arial" w:cs="Arial"/>
          <w:noProof/>
          <w:sz w:val="22"/>
          <w:szCs w:val="22"/>
          <w:lang w:val="en-GB"/>
        </w:rPr>
        <w:t>435-</w:t>
      </w:r>
      <w:r w:rsidR="00842757" w:rsidRPr="00FC055E">
        <w:rPr>
          <w:rFonts w:ascii="Arial" w:hAnsi="Arial" w:cs="Arial"/>
          <w:noProof/>
          <w:sz w:val="22"/>
          <w:szCs w:val="22"/>
          <w:lang w:val="en-GB"/>
        </w:rPr>
        <w:t xml:space="preserve">453. </w:t>
      </w:r>
    </w:p>
    <w:p w14:paraId="47E238F9" w14:textId="77777777" w:rsidR="00842757" w:rsidRPr="00CD4861" w:rsidRDefault="00875264" w:rsidP="00CD4861">
      <w:pPr>
        <w:ind w:left="709" w:hanging="709"/>
        <w:rPr>
          <w:rFonts w:ascii="Arial" w:hAnsi="Arial" w:cs="Arial"/>
          <w:b/>
          <w:i/>
          <w:noProof/>
          <w:sz w:val="22"/>
          <w:szCs w:val="22"/>
          <w:lang w:val="en-GB"/>
        </w:rPr>
      </w:pPr>
      <w:r w:rsidRPr="00CD4861">
        <w:rPr>
          <w:rFonts w:ascii="Arial" w:hAnsi="Arial" w:cs="Arial"/>
          <w:noProof/>
          <w:sz w:val="22"/>
          <w:szCs w:val="22"/>
          <w:lang w:val="en-GB"/>
        </w:rPr>
        <w:t>Chevalier, Arnaud, und Gavan Conlon. 2003.</w:t>
      </w:r>
      <w:r w:rsidR="00842757" w:rsidRPr="00CD4861">
        <w:rPr>
          <w:rFonts w:ascii="Arial" w:hAnsi="Arial" w:cs="Arial"/>
          <w:noProof/>
          <w:sz w:val="22"/>
          <w:szCs w:val="22"/>
          <w:lang w:val="en-GB"/>
        </w:rPr>
        <w:t xml:space="preserve"> Does it Pay to A</w:t>
      </w:r>
      <w:r w:rsidRPr="00CD4861">
        <w:rPr>
          <w:rFonts w:ascii="Arial" w:hAnsi="Arial" w:cs="Arial"/>
          <w:noProof/>
          <w:sz w:val="22"/>
          <w:szCs w:val="22"/>
          <w:lang w:val="en-GB"/>
        </w:rPr>
        <w:t>ttend a Prestigious University?</w:t>
      </w:r>
      <w:r w:rsidR="00842757" w:rsidRPr="00CD4861">
        <w:rPr>
          <w:rFonts w:ascii="Arial" w:hAnsi="Arial" w:cs="Arial"/>
          <w:noProof/>
          <w:sz w:val="22"/>
          <w:szCs w:val="22"/>
          <w:lang w:val="en-GB"/>
        </w:rPr>
        <w:t xml:space="preserve"> IZA Discussion Paper No. 848</w:t>
      </w:r>
    </w:p>
    <w:p w14:paraId="4CB08F09" w14:textId="77777777" w:rsidR="00842757" w:rsidRPr="00ED5B0E" w:rsidRDefault="00875264" w:rsidP="00287351">
      <w:pPr>
        <w:ind w:left="709" w:hanging="709"/>
        <w:rPr>
          <w:rFonts w:ascii="Arial" w:hAnsi="Arial" w:cs="Arial"/>
          <w:bCs/>
          <w:noProof/>
          <w:sz w:val="22"/>
          <w:szCs w:val="22"/>
        </w:rPr>
      </w:pPr>
      <w:r>
        <w:rPr>
          <w:rFonts w:ascii="Arial" w:hAnsi="Arial" w:cs="Arial"/>
          <w:bCs/>
          <w:noProof/>
          <w:sz w:val="22"/>
          <w:szCs w:val="22"/>
          <w:lang w:val="en-GB"/>
        </w:rPr>
        <w:t>Clauset, Aaron, Samuel Arbesman</w:t>
      </w:r>
      <w:r w:rsidR="00842757" w:rsidRPr="00FC055E">
        <w:rPr>
          <w:rFonts w:ascii="Arial" w:hAnsi="Arial" w:cs="Arial"/>
          <w:bCs/>
          <w:noProof/>
          <w:sz w:val="22"/>
          <w:szCs w:val="22"/>
          <w:lang w:val="en-GB"/>
        </w:rPr>
        <w:t xml:space="preserve"> </w:t>
      </w:r>
      <w:r>
        <w:rPr>
          <w:rFonts w:ascii="Arial" w:hAnsi="Arial" w:cs="Arial"/>
          <w:bCs/>
          <w:noProof/>
          <w:sz w:val="22"/>
          <w:szCs w:val="22"/>
          <w:lang w:val="en-GB"/>
        </w:rPr>
        <w:t>und Daniel B. Larremore. 2015.</w:t>
      </w:r>
      <w:r w:rsidR="00842757" w:rsidRPr="00FC055E">
        <w:rPr>
          <w:rFonts w:ascii="Arial" w:hAnsi="Arial" w:cs="Arial"/>
          <w:bCs/>
          <w:noProof/>
          <w:sz w:val="22"/>
          <w:szCs w:val="22"/>
          <w:lang w:val="en-GB"/>
        </w:rPr>
        <w:t xml:space="preserve"> Systematic Inequality and Hierarchy in Faculty Hiring Networks. </w:t>
      </w:r>
      <w:r w:rsidR="00842757" w:rsidRPr="00ED5B0E">
        <w:rPr>
          <w:rFonts w:ascii="Arial" w:hAnsi="Arial" w:cs="Arial"/>
          <w:bCs/>
          <w:i/>
          <w:noProof/>
          <w:sz w:val="22"/>
          <w:szCs w:val="22"/>
        </w:rPr>
        <w:t>Science Advances</w:t>
      </w:r>
      <w:r w:rsidR="00842757" w:rsidRPr="00ED5B0E">
        <w:rPr>
          <w:rFonts w:ascii="Arial" w:hAnsi="Arial" w:cs="Arial"/>
          <w:bCs/>
          <w:noProof/>
          <w:sz w:val="22"/>
          <w:szCs w:val="22"/>
        </w:rPr>
        <w:t xml:space="preserve"> 1(1): 1-6.</w:t>
      </w:r>
    </w:p>
    <w:p w14:paraId="4A1347F5" w14:textId="77777777" w:rsidR="00842757" w:rsidRPr="00FC055E" w:rsidRDefault="00842757" w:rsidP="00287351">
      <w:pPr>
        <w:ind w:left="709" w:hanging="709"/>
        <w:rPr>
          <w:rFonts w:ascii="Arial" w:hAnsi="Arial" w:cs="Arial"/>
          <w:bCs/>
          <w:noProof/>
          <w:sz w:val="22"/>
          <w:szCs w:val="22"/>
          <w:lang w:val="en-GB"/>
        </w:rPr>
      </w:pPr>
      <w:r w:rsidRPr="00FC055E">
        <w:rPr>
          <w:rFonts w:ascii="Arial" w:hAnsi="Arial" w:cs="Arial"/>
          <w:bCs/>
          <w:noProof/>
          <w:sz w:val="22"/>
          <w:szCs w:val="22"/>
        </w:rPr>
        <w:t>Deutscher Akad</w:t>
      </w:r>
      <w:r w:rsidR="00875264">
        <w:rPr>
          <w:rFonts w:ascii="Arial" w:hAnsi="Arial" w:cs="Arial"/>
          <w:bCs/>
          <w:noProof/>
          <w:sz w:val="22"/>
          <w:szCs w:val="22"/>
        </w:rPr>
        <w:t>emischer Austauschdienst (DAAD). 2015.</w:t>
      </w:r>
      <w:r w:rsidRPr="00FC055E">
        <w:rPr>
          <w:rFonts w:ascii="Arial" w:hAnsi="Arial" w:cs="Arial"/>
          <w:bCs/>
          <w:noProof/>
          <w:sz w:val="22"/>
          <w:szCs w:val="22"/>
        </w:rPr>
        <w:t xml:space="preserve"> </w:t>
      </w:r>
      <w:r w:rsidRPr="00875264">
        <w:rPr>
          <w:rFonts w:ascii="Arial" w:hAnsi="Arial" w:cs="Arial"/>
          <w:bCs/>
          <w:i/>
          <w:noProof/>
          <w:sz w:val="22"/>
          <w:szCs w:val="22"/>
        </w:rPr>
        <w:t>Wissenschaft Weltoffen. Daten und Fakten zur Internationalität von Studium und Forschung in Deutschland</w:t>
      </w:r>
      <w:r w:rsidRPr="00FC055E">
        <w:rPr>
          <w:rFonts w:ascii="Arial" w:hAnsi="Arial" w:cs="Arial"/>
          <w:bCs/>
          <w:noProof/>
          <w:sz w:val="22"/>
          <w:szCs w:val="22"/>
        </w:rPr>
        <w:t xml:space="preserve">. </w:t>
      </w:r>
      <w:r w:rsidRPr="00FC055E">
        <w:rPr>
          <w:rFonts w:ascii="Arial" w:hAnsi="Arial" w:cs="Arial"/>
          <w:bCs/>
          <w:noProof/>
          <w:sz w:val="22"/>
          <w:szCs w:val="22"/>
          <w:lang w:val="en-GB"/>
        </w:rPr>
        <w:t>Bielefeld: Bertelsmann.</w:t>
      </w:r>
    </w:p>
    <w:p w14:paraId="60BC698E" w14:textId="77777777" w:rsidR="00842757" w:rsidRPr="00FC055E" w:rsidRDefault="00842757" w:rsidP="00287351">
      <w:pPr>
        <w:ind w:left="709" w:hanging="709"/>
        <w:rPr>
          <w:rFonts w:ascii="Arial" w:hAnsi="Arial" w:cs="Arial"/>
          <w:b/>
          <w:i/>
          <w:noProof/>
          <w:sz w:val="22"/>
          <w:szCs w:val="22"/>
          <w:lang w:val="en-GB"/>
        </w:rPr>
      </w:pPr>
      <w:r w:rsidRPr="00C4044B">
        <w:rPr>
          <w:rFonts w:ascii="Arial" w:hAnsi="Arial" w:cs="Arial"/>
          <w:noProof/>
          <w:sz w:val="22"/>
          <w:szCs w:val="22"/>
          <w:lang w:val="en-US"/>
        </w:rPr>
        <w:t>Diekmann,</w:t>
      </w:r>
      <w:r w:rsidR="00875264" w:rsidRPr="00C4044B">
        <w:rPr>
          <w:rFonts w:ascii="Arial" w:hAnsi="Arial" w:cs="Arial"/>
          <w:noProof/>
          <w:sz w:val="22"/>
          <w:szCs w:val="22"/>
          <w:lang w:val="en-US"/>
        </w:rPr>
        <w:t xml:space="preserve"> Andreas, und Peter Preisendörfer. </w:t>
      </w:r>
      <w:r w:rsidR="00875264">
        <w:rPr>
          <w:rFonts w:ascii="Arial" w:hAnsi="Arial" w:cs="Arial"/>
          <w:noProof/>
          <w:sz w:val="22"/>
          <w:szCs w:val="22"/>
          <w:lang w:val="en-GB"/>
        </w:rPr>
        <w:t>2003.</w:t>
      </w:r>
      <w:r w:rsidRPr="00FC055E">
        <w:rPr>
          <w:rFonts w:ascii="Arial" w:hAnsi="Arial" w:cs="Arial"/>
          <w:noProof/>
          <w:sz w:val="22"/>
          <w:szCs w:val="22"/>
          <w:lang w:val="en-GB"/>
        </w:rPr>
        <w:t xml:space="preserve"> Green and Greenback: The Behavioral Effects of Environmental Attitudes in Low-Cost and High-Cost Situations. </w:t>
      </w:r>
      <w:r w:rsidRPr="00875264">
        <w:rPr>
          <w:rFonts w:ascii="Arial" w:hAnsi="Arial" w:cs="Arial"/>
          <w:i/>
          <w:noProof/>
          <w:sz w:val="22"/>
          <w:szCs w:val="22"/>
          <w:lang w:val="en-GB"/>
        </w:rPr>
        <w:t>Rationality and Society</w:t>
      </w:r>
      <w:r w:rsidRPr="00FC055E">
        <w:rPr>
          <w:rFonts w:ascii="Arial" w:hAnsi="Arial" w:cs="Arial"/>
          <w:noProof/>
          <w:sz w:val="22"/>
          <w:szCs w:val="22"/>
          <w:lang w:val="en-GB"/>
        </w:rPr>
        <w:t xml:space="preserve"> 15(4): 441-472.</w:t>
      </w:r>
    </w:p>
    <w:p w14:paraId="372A477A" w14:textId="77777777" w:rsidR="00842757" w:rsidRPr="00CD4861" w:rsidRDefault="00875264" w:rsidP="00CD4861">
      <w:pPr>
        <w:ind w:left="709" w:hanging="709"/>
        <w:rPr>
          <w:rFonts w:ascii="Arial" w:hAnsi="Arial" w:cs="Arial"/>
          <w:b/>
          <w:i/>
          <w:noProof/>
          <w:sz w:val="22"/>
          <w:szCs w:val="22"/>
          <w:lang w:val="en-GB"/>
        </w:rPr>
      </w:pPr>
      <w:r w:rsidRPr="00CD4861">
        <w:rPr>
          <w:rFonts w:ascii="Arial" w:hAnsi="Arial" w:cs="Arial"/>
          <w:noProof/>
          <w:sz w:val="22"/>
          <w:szCs w:val="22"/>
          <w:lang w:val="en-GB"/>
        </w:rPr>
        <w:t>Eide, Eric et al. 1998.</w:t>
      </w:r>
      <w:r w:rsidR="00842757" w:rsidRPr="00CD4861">
        <w:rPr>
          <w:rFonts w:ascii="Arial" w:hAnsi="Arial" w:cs="Arial"/>
          <w:noProof/>
          <w:sz w:val="22"/>
          <w:szCs w:val="22"/>
          <w:lang w:val="en-GB"/>
        </w:rPr>
        <w:t xml:space="preserve"> Does It Pay to Attend an Elite Private College? Evidence on the Effects of Undergraduate College Quality on Graduate School Attendance. E</w:t>
      </w:r>
      <w:r w:rsidRPr="00CD4861">
        <w:rPr>
          <w:rFonts w:ascii="Arial" w:hAnsi="Arial" w:cs="Arial"/>
          <w:noProof/>
          <w:sz w:val="22"/>
          <w:szCs w:val="22"/>
          <w:lang w:val="en-GB"/>
        </w:rPr>
        <w:t>conomics of Education Review 17(</w:t>
      </w:r>
      <w:r w:rsidR="00842757" w:rsidRPr="00CD4861">
        <w:rPr>
          <w:rFonts w:ascii="Arial" w:hAnsi="Arial" w:cs="Arial"/>
          <w:noProof/>
          <w:sz w:val="22"/>
          <w:szCs w:val="22"/>
          <w:lang w:val="en-GB"/>
        </w:rPr>
        <w:t>4</w:t>
      </w:r>
      <w:r w:rsidRPr="00CD4861">
        <w:rPr>
          <w:rFonts w:ascii="Arial" w:hAnsi="Arial" w:cs="Arial"/>
          <w:noProof/>
          <w:sz w:val="22"/>
          <w:szCs w:val="22"/>
          <w:lang w:val="en-GB"/>
        </w:rPr>
        <w:t>)</w:t>
      </w:r>
      <w:r w:rsidR="00842757" w:rsidRPr="00CD4861">
        <w:rPr>
          <w:rFonts w:ascii="Arial" w:hAnsi="Arial" w:cs="Arial"/>
          <w:noProof/>
          <w:sz w:val="22"/>
          <w:szCs w:val="22"/>
          <w:lang w:val="en-GB"/>
        </w:rPr>
        <w:t>: 371-376.</w:t>
      </w:r>
    </w:p>
    <w:p w14:paraId="6C04D375" w14:textId="77777777" w:rsidR="00842757" w:rsidRPr="00C4044B" w:rsidRDefault="00842757" w:rsidP="00287351">
      <w:pPr>
        <w:ind w:left="709" w:hanging="709"/>
        <w:rPr>
          <w:rFonts w:ascii="Arial" w:hAnsi="Arial" w:cs="Arial"/>
          <w:noProof/>
          <w:sz w:val="22"/>
          <w:szCs w:val="22"/>
        </w:rPr>
      </w:pPr>
      <w:r w:rsidRPr="00FC055E">
        <w:rPr>
          <w:rFonts w:ascii="Arial" w:hAnsi="Arial" w:cs="Arial"/>
          <w:noProof/>
          <w:sz w:val="22"/>
          <w:szCs w:val="22"/>
          <w:lang w:val="en-GB"/>
        </w:rPr>
        <w:t xml:space="preserve">Findlay, Allan M., </w:t>
      </w:r>
      <w:r w:rsidR="00875264">
        <w:rPr>
          <w:rFonts w:ascii="Arial" w:hAnsi="Arial" w:cs="Arial"/>
          <w:noProof/>
          <w:sz w:val="22"/>
          <w:szCs w:val="22"/>
          <w:lang w:val="en-GB"/>
        </w:rPr>
        <w:t xml:space="preserve">Russell </w:t>
      </w:r>
      <w:r w:rsidRPr="00FC055E">
        <w:rPr>
          <w:rFonts w:ascii="Arial" w:hAnsi="Arial" w:cs="Arial"/>
          <w:noProof/>
          <w:sz w:val="22"/>
          <w:szCs w:val="22"/>
          <w:lang w:val="en-GB"/>
        </w:rPr>
        <w:t xml:space="preserve">King, </w:t>
      </w:r>
      <w:r w:rsidR="00875264">
        <w:rPr>
          <w:rFonts w:ascii="Arial" w:hAnsi="Arial" w:cs="Arial"/>
          <w:noProof/>
          <w:sz w:val="22"/>
          <w:szCs w:val="22"/>
          <w:lang w:val="en-GB"/>
        </w:rPr>
        <w:t xml:space="preserve">Fiona M. </w:t>
      </w:r>
      <w:r w:rsidRPr="00FC055E">
        <w:rPr>
          <w:rFonts w:ascii="Arial" w:hAnsi="Arial" w:cs="Arial"/>
          <w:noProof/>
          <w:sz w:val="22"/>
          <w:szCs w:val="22"/>
          <w:lang w:val="en-GB"/>
        </w:rPr>
        <w:t xml:space="preserve">Smith, </w:t>
      </w:r>
      <w:r w:rsidR="00875264">
        <w:rPr>
          <w:rFonts w:ascii="Arial" w:hAnsi="Arial" w:cs="Arial"/>
          <w:noProof/>
          <w:sz w:val="22"/>
          <w:szCs w:val="22"/>
          <w:lang w:val="en-GB"/>
        </w:rPr>
        <w:t>Alistair Geddes und Ronald Skeldon. 2012.</w:t>
      </w:r>
      <w:r w:rsidR="003D11E7">
        <w:rPr>
          <w:rFonts w:ascii="Arial" w:hAnsi="Arial" w:cs="Arial"/>
          <w:noProof/>
          <w:sz w:val="22"/>
          <w:szCs w:val="22"/>
          <w:lang w:val="en-GB"/>
        </w:rPr>
        <w:t xml:space="preserve"> World Class? An Investigation of Globalisation, Difference and International Student M</w:t>
      </w:r>
      <w:r w:rsidRPr="00FC055E">
        <w:rPr>
          <w:rFonts w:ascii="Arial" w:hAnsi="Arial" w:cs="Arial"/>
          <w:noProof/>
          <w:sz w:val="22"/>
          <w:szCs w:val="22"/>
          <w:lang w:val="en-GB"/>
        </w:rPr>
        <w:t xml:space="preserve">obility. </w:t>
      </w:r>
      <w:r w:rsidRPr="00C4044B">
        <w:rPr>
          <w:rFonts w:ascii="Arial" w:hAnsi="Arial" w:cs="Arial"/>
          <w:i/>
          <w:noProof/>
          <w:sz w:val="22"/>
          <w:szCs w:val="22"/>
        </w:rPr>
        <w:t>Transactions of the Institute of British Geographers</w:t>
      </w:r>
      <w:r w:rsidRPr="00C4044B">
        <w:rPr>
          <w:rFonts w:ascii="Arial" w:hAnsi="Arial" w:cs="Arial"/>
          <w:noProof/>
          <w:sz w:val="22"/>
          <w:szCs w:val="22"/>
        </w:rPr>
        <w:t xml:space="preserve"> 37(1): 118-131.</w:t>
      </w:r>
    </w:p>
    <w:p w14:paraId="10311BEE" w14:textId="01A0F2A0" w:rsidR="00842757" w:rsidRPr="00FC055E" w:rsidRDefault="003D11E7" w:rsidP="00287351">
      <w:pPr>
        <w:ind w:left="709" w:hanging="709"/>
        <w:rPr>
          <w:rFonts w:ascii="Arial" w:hAnsi="Arial" w:cs="Arial"/>
          <w:noProof/>
          <w:sz w:val="22"/>
          <w:szCs w:val="22"/>
        </w:rPr>
      </w:pPr>
      <w:r>
        <w:rPr>
          <w:rFonts w:ascii="Arial" w:hAnsi="Arial" w:cs="Arial"/>
          <w:noProof/>
          <w:sz w:val="22"/>
          <w:szCs w:val="22"/>
        </w:rPr>
        <w:t>Forschung &amp; Lehre</w:t>
      </w:r>
      <w:r w:rsidR="00A06DB3">
        <w:rPr>
          <w:rFonts w:ascii="Arial" w:hAnsi="Arial" w:cs="Arial"/>
          <w:noProof/>
          <w:sz w:val="22"/>
          <w:szCs w:val="22"/>
        </w:rPr>
        <w:t>.</w:t>
      </w:r>
      <w:r>
        <w:rPr>
          <w:rFonts w:ascii="Arial" w:hAnsi="Arial" w:cs="Arial"/>
          <w:noProof/>
          <w:sz w:val="22"/>
          <w:szCs w:val="22"/>
        </w:rPr>
        <w:t xml:space="preserve"> 2015.</w:t>
      </w:r>
      <w:r w:rsidR="00842757" w:rsidRPr="00FC055E">
        <w:rPr>
          <w:rFonts w:ascii="Arial" w:hAnsi="Arial" w:cs="Arial"/>
          <w:noProof/>
          <w:sz w:val="22"/>
          <w:szCs w:val="22"/>
        </w:rPr>
        <w:t xml:space="preserve"> N</w:t>
      </w:r>
      <w:r>
        <w:rPr>
          <w:rFonts w:ascii="Arial" w:hAnsi="Arial" w:cs="Arial"/>
          <w:noProof/>
          <w:sz w:val="22"/>
          <w:szCs w:val="22"/>
        </w:rPr>
        <w:t>obelpreise nach Ländern 2000-14.</w:t>
      </w:r>
      <w:r w:rsidR="00842757" w:rsidRPr="00FC055E">
        <w:rPr>
          <w:rFonts w:ascii="Arial" w:hAnsi="Arial" w:cs="Arial"/>
          <w:noProof/>
          <w:sz w:val="22"/>
          <w:szCs w:val="22"/>
        </w:rPr>
        <w:t xml:space="preserve"> </w:t>
      </w:r>
      <w:r w:rsidR="00842757" w:rsidRPr="003D11E7">
        <w:rPr>
          <w:rFonts w:ascii="Arial" w:hAnsi="Arial" w:cs="Arial"/>
          <w:i/>
          <w:noProof/>
          <w:sz w:val="22"/>
          <w:szCs w:val="22"/>
        </w:rPr>
        <w:t>Forschung &amp; Lehre 9</w:t>
      </w:r>
      <w:r w:rsidR="00842757" w:rsidRPr="00FC055E">
        <w:rPr>
          <w:rFonts w:ascii="Arial" w:hAnsi="Arial" w:cs="Arial"/>
          <w:noProof/>
          <w:sz w:val="22"/>
          <w:szCs w:val="22"/>
        </w:rPr>
        <w:t>: 706.</w:t>
      </w:r>
    </w:p>
    <w:p w14:paraId="470926A5" w14:textId="77777777" w:rsidR="00842757" w:rsidRPr="00C4044B" w:rsidRDefault="003D11E7" w:rsidP="00287351">
      <w:pPr>
        <w:ind w:left="709" w:hanging="709"/>
        <w:rPr>
          <w:rFonts w:ascii="Arial" w:hAnsi="Arial" w:cs="Arial"/>
          <w:noProof/>
          <w:sz w:val="22"/>
          <w:szCs w:val="22"/>
        </w:rPr>
      </w:pPr>
      <w:r w:rsidRPr="007D4BB1">
        <w:rPr>
          <w:rFonts w:ascii="Arial" w:hAnsi="Arial" w:cs="Arial"/>
          <w:noProof/>
          <w:sz w:val="22"/>
          <w:szCs w:val="22"/>
        </w:rPr>
        <w:t xml:space="preserve">Gerber, Theodore P., und Sin Yi Cheung. </w:t>
      </w:r>
      <w:r w:rsidRPr="00F178BE">
        <w:rPr>
          <w:rFonts w:ascii="Arial" w:hAnsi="Arial" w:cs="Arial"/>
          <w:noProof/>
          <w:sz w:val="22"/>
          <w:szCs w:val="22"/>
          <w:lang w:val="en-US"/>
        </w:rPr>
        <w:t>2008.</w:t>
      </w:r>
      <w:r w:rsidR="00842757" w:rsidRPr="00F178BE">
        <w:rPr>
          <w:rFonts w:ascii="Arial" w:hAnsi="Arial" w:cs="Arial"/>
          <w:noProof/>
          <w:sz w:val="22"/>
          <w:szCs w:val="22"/>
          <w:lang w:val="en-US"/>
        </w:rPr>
        <w:t xml:space="preserve"> Horizontal Stratifica</w:t>
      </w:r>
      <w:r w:rsidR="00842757" w:rsidRPr="00FC055E">
        <w:rPr>
          <w:rFonts w:ascii="Arial" w:hAnsi="Arial" w:cs="Arial"/>
          <w:noProof/>
          <w:sz w:val="22"/>
          <w:szCs w:val="22"/>
          <w:lang w:val="en-GB"/>
        </w:rPr>
        <w:t xml:space="preserve">tion in Postsecondary Education: Forms, Explanations, and Implications. </w:t>
      </w:r>
      <w:r w:rsidR="00842757" w:rsidRPr="00C4044B">
        <w:rPr>
          <w:rFonts w:ascii="Arial" w:hAnsi="Arial" w:cs="Arial"/>
          <w:i/>
          <w:noProof/>
          <w:sz w:val="22"/>
          <w:szCs w:val="22"/>
        </w:rPr>
        <w:t>Annual Review of Sociology</w:t>
      </w:r>
      <w:r w:rsidR="00842757" w:rsidRPr="00C4044B">
        <w:rPr>
          <w:rFonts w:ascii="Arial" w:hAnsi="Arial" w:cs="Arial"/>
          <w:noProof/>
          <w:sz w:val="22"/>
          <w:szCs w:val="22"/>
        </w:rPr>
        <w:t xml:space="preserve"> 34: 299-318.</w:t>
      </w:r>
    </w:p>
    <w:p w14:paraId="6A2B467E" w14:textId="77777777" w:rsidR="00842757" w:rsidRPr="00FC055E" w:rsidRDefault="003D11E7" w:rsidP="00287351">
      <w:pPr>
        <w:ind w:left="709" w:hanging="709"/>
        <w:rPr>
          <w:rFonts w:ascii="Arial" w:hAnsi="Arial" w:cs="Arial"/>
          <w:noProof/>
          <w:sz w:val="22"/>
          <w:szCs w:val="22"/>
          <w:lang w:val="en-GB"/>
        </w:rPr>
      </w:pPr>
      <w:r w:rsidRPr="00C4044B">
        <w:rPr>
          <w:rFonts w:ascii="Arial" w:hAnsi="Arial" w:cs="Arial"/>
          <w:noProof/>
          <w:sz w:val="22"/>
          <w:szCs w:val="22"/>
        </w:rPr>
        <w:t>Hartmann, Michael. 2007.</w:t>
      </w:r>
      <w:r w:rsidR="00842757" w:rsidRPr="00C4044B">
        <w:rPr>
          <w:rFonts w:ascii="Arial" w:hAnsi="Arial" w:cs="Arial"/>
          <w:noProof/>
          <w:sz w:val="22"/>
          <w:szCs w:val="22"/>
        </w:rPr>
        <w:t xml:space="preserve"> </w:t>
      </w:r>
      <w:r w:rsidR="00842757" w:rsidRPr="003D11E7">
        <w:rPr>
          <w:rFonts w:ascii="Arial" w:hAnsi="Arial" w:cs="Arial"/>
          <w:i/>
          <w:noProof/>
          <w:sz w:val="22"/>
          <w:szCs w:val="22"/>
        </w:rPr>
        <w:t>Eliten und Macht in Europa: Ein internationaler Vergleich</w:t>
      </w:r>
      <w:r w:rsidR="00842757" w:rsidRPr="00FC055E">
        <w:rPr>
          <w:rFonts w:ascii="Arial" w:hAnsi="Arial" w:cs="Arial"/>
          <w:noProof/>
          <w:sz w:val="22"/>
          <w:szCs w:val="22"/>
        </w:rPr>
        <w:t xml:space="preserve">. </w:t>
      </w:r>
      <w:r>
        <w:rPr>
          <w:rFonts w:ascii="Arial" w:hAnsi="Arial" w:cs="Arial"/>
          <w:noProof/>
          <w:sz w:val="22"/>
          <w:szCs w:val="22"/>
          <w:lang w:val="en-GB"/>
        </w:rPr>
        <w:t>Frankfurt a. M./</w:t>
      </w:r>
      <w:r w:rsidR="00842757" w:rsidRPr="00FC055E">
        <w:rPr>
          <w:rFonts w:ascii="Arial" w:hAnsi="Arial" w:cs="Arial"/>
          <w:noProof/>
          <w:sz w:val="22"/>
          <w:szCs w:val="22"/>
          <w:lang w:val="en-GB"/>
        </w:rPr>
        <w:t xml:space="preserve"> New York: Campus.</w:t>
      </w:r>
    </w:p>
    <w:p w14:paraId="193C4B42" w14:textId="77777777" w:rsidR="00842757" w:rsidRPr="00FC055E" w:rsidRDefault="003D11E7" w:rsidP="00287351">
      <w:pPr>
        <w:ind w:left="709" w:hanging="709"/>
        <w:rPr>
          <w:rFonts w:ascii="Arial" w:hAnsi="Arial" w:cs="Arial"/>
          <w:noProof/>
          <w:sz w:val="22"/>
          <w:szCs w:val="22"/>
          <w:lang w:val="en-GB"/>
        </w:rPr>
      </w:pPr>
      <w:r>
        <w:rPr>
          <w:rFonts w:ascii="Arial" w:hAnsi="Arial" w:cs="Arial"/>
          <w:noProof/>
          <w:sz w:val="22"/>
          <w:szCs w:val="22"/>
          <w:lang w:val="en-GB"/>
        </w:rPr>
        <w:t>Headworth, Spencer, und Jeremy Freese. 2016.</w:t>
      </w:r>
      <w:r w:rsidR="00842757" w:rsidRPr="00FC055E">
        <w:rPr>
          <w:rFonts w:ascii="Arial" w:hAnsi="Arial" w:cs="Arial"/>
          <w:noProof/>
          <w:sz w:val="22"/>
          <w:szCs w:val="22"/>
          <w:lang w:val="en-GB"/>
        </w:rPr>
        <w:t xml:space="preserve"> Credential Privilege or Cumulative Advantage? Prestige, Productivity, and Placement in the Academic Sociology Job Market. </w:t>
      </w:r>
      <w:r w:rsidR="00842757" w:rsidRPr="003D11E7">
        <w:rPr>
          <w:rFonts w:ascii="Arial" w:hAnsi="Arial" w:cs="Arial"/>
          <w:i/>
          <w:noProof/>
          <w:sz w:val="22"/>
          <w:szCs w:val="22"/>
          <w:lang w:val="en-GB"/>
        </w:rPr>
        <w:t>Social Forces</w:t>
      </w:r>
      <w:r w:rsidR="00842757" w:rsidRPr="00FC055E">
        <w:rPr>
          <w:rFonts w:ascii="Arial" w:hAnsi="Arial" w:cs="Arial"/>
          <w:i/>
          <w:noProof/>
          <w:sz w:val="22"/>
          <w:szCs w:val="22"/>
          <w:lang w:val="en-GB"/>
        </w:rPr>
        <w:t xml:space="preserve"> </w:t>
      </w:r>
      <w:r>
        <w:rPr>
          <w:rFonts w:ascii="Arial" w:hAnsi="Arial" w:cs="Arial"/>
          <w:noProof/>
          <w:sz w:val="22"/>
          <w:szCs w:val="22"/>
          <w:lang w:val="en-GB"/>
        </w:rPr>
        <w:t>94(3): 1257-1282.</w:t>
      </w:r>
    </w:p>
    <w:p w14:paraId="461C5EB5" w14:textId="71EE3FE6" w:rsidR="00842757" w:rsidRPr="00FC055E" w:rsidRDefault="003D11E7" w:rsidP="00F178BE">
      <w:pPr>
        <w:ind w:left="709" w:hanging="709"/>
        <w:rPr>
          <w:noProof/>
          <w:sz w:val="22"/>
          <w:szCs w:val="22"/>
          <w:lang w:val="en-GB"/>
        </w:rPr>
      </w:pPr>
      <w:r w:rsidRPr="00ED5B0E">
        <w:rPr>
          <w:rFonts w:ascii="Arial" w:hAnsi="Arial" w:cs="Arial"/>
          <w:noProof/>
          <w:sz w:val="22"/>
          <w:szCs w:val="22"/>
          <w:lang w:val="en-US"/>
        </w:rPr>
        <w:t xml:space="preserve">Jöns, Heike, und Michael Hoyler. </w:t>
      </w:r>
      <w:r>
        <w:rPr>
          <w:rFonts w:ascii="Arial" w:hAnsi="Arial" w:cs="Arial"/>
          <w:noProof/>
          <w:sz w:val="22"/>
          <w:szCs w:val="22"/>
          <w:lang w:val="en-GB"/>
        </w:rPr>
        <w:t>2013. Global Geographies of Higher Education: The Perspective of World University R</w:t>
      </w:r>
      <w:r w:rsidR="00842757" w:rsidRPr="00FC055E">
        <w:rPr>
          <w:rFonts w:ascii="Arial" w:hAnsi="Arial" w:cs="Arial"/>
          <w:noProof/>
          <w:sz w:val="22"/>
          <w:szCs w:val="22"/>
          <w:lang w:val="en-GB"/>
        </w:rPr>
        <w:t xml:space="preserve">ankings. </w:t>
      </w:r>
      <w:r w:rsidR="00842757" w:rsidRPr="003D11E7">
        <w:rPr>
          <w:rFonts w:ascii="Arial" w:hAnsi="Arial" w:cs="Arial"/>
          <w:i/>
          <w:noProof/>
          <w:sz w:val="22"/>
          <w:szCs w:val="22"/>
          <w:lang w:val="en-GB"/>
        </w:rPr>
        <w:t>Geoforum</w:t>
      </w:r>
      <w:r w:rsidR="00842757" w:rsidRPr="00FC055E">
        <w:rPr>
          <w:rFonts w:ascii="Arial" w:hAnsi="Arial" w:cs="Arial"/>
          <w:noProof/>
          <w:sz w:val="22"/>
          <w:szCs w:val="22"/>
          <w:lang w:val="en-GB"/>
        </w:rPr>
        <w:t xml:space="preserve"> 46: 45-59.</w:t>
      </w:r>
    </w:p>
    <w:p w14:paraId="09AF2059" w14:textId="65EBD22A" w:rsidR="00A14756" w:rsidRPr="00ED5B0E" w:rsidRDefault="00A14756" w:rsidP="00287351">
      <w:pPr>
        <w:autoSpaceDE w:val="0"/>
        <w:autoSpaceDN w:val="0"/>
        <w:adjustRightInd w:val="0"/>
        <w:ind w:left="709" w:hanging="709"/>
        <w:rPr>
          <w:rFonts w:ascii="Arial" w:hAnsi="Arial" w:cs="Arial"/>
          <w:noProof/>
          <w:sz w:val="22"/>
          <w:szCs w:val="22"/>
          <w:lang w:val="en-US"/>
        </w:rPr>
      </w:pPr>
      <w:r w:rsidRPr="00FC055E">
        <w:rPr>
          <w:rFonts w:ascii="Arial" w:hAnsi="Arial" w:cs="Arial"/>
          <w:noProof/>
          <w:sz w:val="22"/>
          <w:szCs w:val="22"/>
          <w:lang w:val="en-US"/>
        </w:rPr>
        <w:t>Kehm, Barbara M</w:t>
      </w:r>
      <w:r w:rsidR="003D11E7">
        <w:rPr>
          <w:rFonts w:ascii="Arial" w:hAnsi="Arial" w:cs="Arial"/>
          <w:noProof/>
          <w:sz w:val="22"/>
          <w:szCs w:val="22"/>
          <w:lang w:val="en-US"/>
        </w:rPr>
        <w:t>. 2014.</w:t>
      </w:r>
      <w:r w:rsidR="002B1C4C" w:rsidRPr="00FC055E">
        <w:rPr>
          <w:rFonts w:ascii="Arial" w:hAnsi="Arial" w:cs="Arial"/>
          <w:noProof/>
          <w:sz w:val="22"/>
          <w:szCs w:val="22"/>
          <w:lang w:val="en-US"/>
        </w:rPr>
        <w:t xml:space="preserve"> </w:t>
      </w:r>
      <w:r w:rsidR="00787444" w:rsidRPr="00FC055E">
        <w:rPr>
          <w:rFonts w:ascii="Arial" w:hAnsi="Arial" w:cs="Arial"/>
          <w:noProof/>
          <w:sz w:val="22"/>
          <w:szCs w:val="22"/>
          <w:lang w:val="en-US"/>
        </w:rPr>
        <w:t xml:space="preserve">Global University Rankings – Impacts and Unintended Side Effects. </w:t>
      </w:r>
      <w:r w:rsidR="00787444" w:rsidRPr="00ED5B0E">
        <w:rPr>
          <w:rFonts w:ascii="Arial" w:hAnsi="Arial" w:cs="Arial"/>
          <w:i/>
          <w:noProof/>
          <w:sz w:val="22"/>
          <w:szCs w:val="22"/>
          <w:lang w:val="en-US"/>
        </w:rPr>
        <w:t>European Journal of Education</w:t>
      </w:r>
      <w:r w:rsidR="00787444" w:rsidRPr="00ED5B0E">
        <w:rPr>
          <w:rFonts w:ascii="Arial" w:hAnsi="Arial" w:cs="Arial"/>
          <w:noProof/>
          <w:sz w:val="22"/>
          <w:szCs w:val="22"/>
          <w:lang w:val="en-US"/>
        </w:rPr>
        <w:t xml:space="preserve"> 49(1): 102-112.</w:t>
      </w:r>
    </w:p>
    <w:p w14:paraId="16B554C3" w14:textId="77777777" w:rsidR="00842757" w:rsidRPr="00FC055E" w:rsidRDefault="003D11E7" w:rsidP="00287351">
      <w:pPr>
        <w:autoSpaceDE w:val="0"/>
        <w:autoSpaceDN w:val="0"/>
        <w:adjustRightInd w:val="0"/>
        <w:ind w:left="709" w:hanging="709"/>
        <w:rPr>
          <w:rFonts w:ascii="Arial" w:hAnsi="Arial" w:cs="Arial"/>
          <w:noProof/>
          <w:sz w:val="22"/>
          <w:szCs w:val="22"/>
          <w:lang w:val="en-GB"/>
        </w:rPr>
      </w:pPr>
      <w:r>
        <w:rPr>
          <w:rFonts w:ascii="Arial" w:hAnsi="Arial" w:cs="Arial"/>
          <w:noProof/>
          <w:sz w:val="22"/>
          <w:szCs w:val="22"/>
          <w:lang w:val="en-GB"/>
        </w:rPr>
        <w:lastRenderedPageBreak/>
        <w:t>Lee, Sunhwa, und Mary C. Brinton. 1996.</w:t>
      </w:r>
      <w:r w:rsidR="00842757" w:rsidRPr="00FC055E">
        <w:rPr>
          <w:rFonts w:ascii="Arial" w:hAnsi="Arial" w:cs="Arial"/>
          <w:noProof/>
          <w:sz w:val="22"/>
          <w:szCs w:val="22"/>
          <w:lang w:val="en-GB"/>
        </w:rPr>
        <w:t xml:space="preserve"> Elite Education and Social Capital: The Case of South Korea. </w:t>
      </w:r>
      <w:r w:rsidR="00842757" w:rsidRPr="003D11E7">
        <w:rPr>
          <w:rFonts w:ascii="Arial" w:hAnsi="Arial" w:cs="Arial"/>
          <w:i/>
          <w:noProof/>
          <w:sz w:val="22"/>
          <w:szCs w:val="22"/>
          <w:lang w:val="en-GB"/>
        </w:rPr>
        <w:t>Sociology of Education</w:t>
      </w:r>
      <w:r w:rsidR="00842757" w:rsidRPr="00FC055E">
        <w:rPr>
          <w:rFonts w:ascii="Arial" w:hAnsi="Arial" w:cs="Arial"/>
          <w:noProof/>
          <w:sz w:val="22"/>
          <w:szCs w:val="22"/>
          <w:lang w:val="en-GB"/>
        </w:rPr>
        <w:t xml:space="preserve"> 69(3): 177-192.</w:t>
      </w:r>
    </w:p>
    <w:p w14:paraId="12347FCC" w14:textId="77777777" w:rsidR="00377103" w:rsidRPr="00FC055E" w:rsidRDefault="00AC48CE" w:rsidP="00287351">
      <w:pPr>
        <w:ind w:left="709" w:hanging="709"/>
        <w:rPr>
          <w:rFonts w:ascii="Arial" w:hAnsi="Arial" w:cs="Arial"/>
          <w:noProof/>
          <w:sz w:val="22"/>
          <w:szCs w:val="22"/>
          <w:lang w:val="en-GB"/>
        </w:rPr>
      </w:pPr>
      <w:r w:rsidRPr="00FC055E">
        <w:rPr>
          <w:rFonts w:ascii="Arial" w:hAnsi="Arial" w:cs="Arial"/>
          <w:noProof/>
          <w:sz w:val="22"/>
          <w:szCs w:val="22"/>
          <w:lang w:val="en-GB"/>
        </w:rPr>
        <w:t>Margins</w:t>
      </w:r>
      <w:r w:rsidR="003D11E7">
        <w:rPr>
          <w:rFonts w:ascii="Arial" w:hAnsi="Arial" w:cs="Arial"/>
          <w:noProof/>
          <w:sz w:val="22"/>
          <w:szCs w:val="22"/>
          <w:lang w:val="en-GB"/>
        </w:rPr>
        <w:t>on, Simon. 2006. Dynamics of National and Global Competition in Higher E</w:t>
      </w:r>
      <w:r w:rsidRPr="00FC055E">
        <w:rPr>
          <w:rFonts w:ascii="Arial" w:hAnsi="Arial" w:cs="Arial"/>
          <w:noProof/>
          <w:sz w:val="22"/>
          <w:szCs w:val="22"/>
          <w:lang w:val="en-GB"/>
        </w:rPr>
        <w:t xml:space="preserve">ducation. </w:t>
      </w:r>
      <w:r w:rsidRPr="003D11E7">
        <w:rPr>
          <w:rFonts w:ascii="Arial" w:hAnsi="Arial" w:cs="Arial"/>
          <w:i/>
          <w:noProof/>
          <w:sz w:val="22"/>
          <w:szCs w:val="22"/>
          <w:lang w:val="en-GB"/>
        </w:rPr>
        <w:t>Higher Education</w:t>
      </w:r>
      <w:r w:rsidRPr="00FC055E">
        <w:rPr>
          <w:rFonts w:ascii="Arial" w:hAnsi="Arial" w:cs="Arial"/>
          <w:noProof/>
          <w:sz w:val="22"/>
          <w:szCs w:val="22"/>
          <w:lang w:val="en-GB"/>
        </w:rPr>
        <w:t xml:space="preserve"> 52(1): 1-39.</w:t>
      </w:r>
    </w:p>
    <w:p w14:paraId="03177EFE" w14:textId="77777777" w:rsidR="00377103" w:rsidRPr="00FC055E" w:rsidRDefault="003D11E7" w:rsidP="00FC055E">
      <w:pPr>
        <w:autoSpaceDE w:val="0"/>
        <w:autoSpaceDN w:val="0"/>
        <w:adjustRightInd w:val="0"/>
        <w:ind w:left="709" w:hanging="709"/>
        <w:rPr>
          <w:rFonts w:ascii="Arial" w:hAnsi="Arial" w:cs="Arial"/>
          <w:sz w:val="22"/>
          <w:szCs w:val="22"/>
          <w:lang w:val="en-US" w:eastAsia="de-DE"/>
        </w:rPr>
      </w:pPr>
      <w:proofErr w:type="spellStart"/>
      <w:r>
        <w:rPr>
          <w:rFonts w:ascii="Arial" w:hAnsi="Arial" w:cs="Arial"/>
          <w:sz w:val="22"/>
          <w:szCs w:val="22"/>
          <w:lang w:val="en-US" w:eastAsia="de-DE"/>
        </w:rPr>
        <w:t>Marginson</w:t>
      </w:r>
      <w:proofErr w:type="spellEnd"/>
      <w:r>
        <w:rPr>
          <w:rFonts w:ascii="Arial" w:hAnsi="Arial" w:cs="Arial"/>
          <w:sz w:val="22"/>
          <w:szCs w:val="22"/>
          <w:lang w:val="en-US" w:eastAsia="de-DE"/>
        </w:rPr>
        <w:t>, Simon. 2008. Global Field and Global Imagining: Bourdieu and Worldwide H</w:t>
      </w:r>
      <w:r w:rsidR="00377103" w:rsidRPr="00FC055E">
        <w:rPr>
          <w:rFonts w:ascii="Arial" w:hAnsi="Arial" w:cs="Arial"/>
          <w:sz w:val="22"/>
          <w:szCs w:val="22"/>
          <w:lang w:val="en-US" w:eastAsia="de-DE"/>
        </w:rPr>
        <w:t>ig</w:t>
      </w:r>
      <w:r w:rsidR="00965315" w:rsidRPr="00FC055E">
        <w:rPr>
          <w:rFonts w:ascii="Arial" w:hAnsi="Arial" w:cs="Arial"/>
          <w:sz w:val="22"/>
          <w:szCs w:val="22"/>
          <w:lang w:val="en-US" w:eastAsia="de-DE"/>
        </w:rPr>
        <w:t>h</w:t>
      </w:r>
      <w:r>
        <w:rPr>
          <w:rFonts w:ascii="Arial" w:hAnsi="Arial" w:cs="Arial"/>
          <w:sz w:val="22"/>
          <w:szCs w:val="22"/>
          <w:lang w:val="en-US" w:eastAsia="de-DE"/>
        </w:rPr>
        <w:t>er Education.</w:t>
      </w:r>
      <w:r w:rsidR="00377103" w:rsidRPr="00FC055E">
        <w:rPr>
          <w:rFonts w:ascii="Arial" w:hAnsi="Arial" w:cs="Arial"/>
          <w:sz w:val="22"/>
          <w:szCs w:val="22"/>
          <w:lang w:val="en-US" w:eastAsia="de-DE"/>
        </w:rPr>
        <w:t xml:space="preserve"> </w:t>
      </w:r>
      <w:r w:rsidR="00377103" w:rsidRPr="003D11E7">
        <w:rPr>
          <w:rFonts w:ascii="Arial" w:hAnsi="Arial" w:cs="Arial"/>
          <w:i/>
          <w:sz w:val="22"/>
          <w:szCs w:val="22"/>
          <w:lang w:val="en-US" w:eastAsia="de-DE"/>
        </w:rPr>
        <w:t>British Journal of Sociology of Education</w:t>
      </w:r>
      <w:r w:rsidR="00377103" w:rsidRPr="00FC055E">
        <w:rPr>
          <w:rFonts w:ascii="Arial" w:hAnsi="Arial" w:cs="Arial"/>
          <w:sz w:val="22"/>
          <w:szCs w:val="22"/>
          <w:lang w:val="en-US" w:eastAsia="de-DE"/>
        </w:rPr>
        <w:t xml:space="preserve"> 29</w:t>
      </w:r>
      <w:r w:rsidR="006651AE" w:rsidRPr="00FC055E">
        <w:rPr>
          <w:rFonts w:ascii="Arial" w:hAnsi="Arial" w:cs="Arial"/>
          <w:sz w:val="22"/>
          <w:szCs w:val="22"/>
          <w:lang w:val="en-US" w:eastAsia="de-DE"/>
        </w:rPr>
        <w:t>(</w:t>
      </w:r>
      <w:r w:rsidR="00377103" w:rsidRPr="00FC055E">
        <w:rPr>
          <w:rFonts w:ascii="Arial" w:hAnsi="Arial" w:cs="Arial"/>
          <w:sz w:val="22"/>
          <w:szCs w:val="22"/>
          <w:lang w:val="en-US" w:eastAsia="de-DE"/>
        </w:rPr>
        <w:t>3</w:t>
      </w:r>
      <w:r w:rsidR="006651AE" w:rsidRPr="00FC055E">
        <w:rPr>
          <w:rFonts w:ascii="Arial" w:hAnsi="Arial" w:cs="Arial"/>
          <w:sz w:val="22"/>
          <w:szCs w:val="22"/>
          <w:lang w:val="en-US" w:eastAsia="de-DE"/>
        </w:rPr>
        <w:t>):</w:t>
      </w:r>
      <w:r w:rsidR="00377103" w:rsidRPr="00FC055E">
        <w:rPr>
          <w:rFonts w:ascii="Arial" w:hAnsi="Arial" w:cs="Arial"/>
          <w:sz w:val="22"/>
          <w:szCs w:val="22"/>
          <w:lang w:val="en-US" w:eastAsia="de-DE"/>
        </w:rPr>
        <w:t xml:space="preserve"> 303-315</w:t>
      </w:r>
      <w:r>
        <w:rPr>
          <w:rFonts w:ascii="Arial" w:hAnsi="Arial" w:cs="Arial"/>
          <w:sz w:val="22"/>
          <w:szCs w:val="22"/>
          <w:lang w:val="en-US" w:eastAsia="de-DE"/>
        </w:rPr>
        <w:t>.</w:t>
      </w:r>
    </w:p>
    <w:p w14:paraId="376F8D7F" w14:textId="77777777" w:rsidR="00377103" w:rsidRPr="00FC055E" w:rsidRDefault="00377103" w:rsidP="00377103">
      <w:pPr>
        <w:ind w:left="709" w:hanging="709"/>
        <w:rPr>
          <w:rFonts w:ascii="Arial" w:hAnsi="Arial" w:cs="Arial"/>
          <w:sz w:val="22"/>
          <w:szCs w:val="22"/>
          <w:lang w:val="en-US" w:eastAsia="de-DE"/>
        </w:rPr>
      </w:pPr>
      <w:proofErr w:type="spellStart"/>
      <w:r w:rsidRPr="00FC055E">
        <w:rPr>
          <w:rFonts w:ascii="Arial" w:hAnsi="Arial" w:cs="Arial"/>
          <w:sz w:val="22"/>
          <w:szCs w:val="22"/>
          <w:lang w:val="en-US" w:eastAsia="de-DE"/>
        </w:rPr>
        <w:t>Marginson</w:t>
      </w:r>
      <w:proofErr w:type="spellEnd"/>
      <w:r w:rsidRPr="00FC055E">
        <w:rPr>
          <w:rFonts w:ascii="Arial" w:hAnsi="Arial" w:cs="Arial"/>
          <w:sz w:val="22"/>
          <w:szCs w:val="22"/>
          <w:lang w:val="en-US" w:eastAsia="de-DE"/>
        </w:rPr>
        <w:t>, Simon</w:t>
      </w:r>
      <w:r w:rsidR="003D11E7">
        <w:rPr>
          <w:rFonts w:ascii="Arial" w:hAnsi="Arial" w:cs="Arial"/>
          <w:sz w:val="22"/>
          <w:szCs w:val="22"/>
          <w:lang w:val="en-US" w:eastAsia="de-DE"/>
        </w:rPr>
        <w:t>.</w:t>
      </w:r>
      <w:r w:rsidR="006651AE" w:rsidRPr="00FC055E">
        <w:rPr>
          <w:rFonts w:ascii="Arial" w:hAnsi="Arial" w:cs="Arial"/>
          <w:sz w:val="22"/>
          <w:szCs w:val="22"/>
          <w:lang w:val="en-US" w:eastAsia="de-DE"/>
        </w:rPr>
        <w:t xml:space="preserve"> </w:t>
      </w:r>
      <w:r w:rsidR="003D11E7">
        <w:rPr>
          <w:rFonts w:ascii="Arial" w:hAnsi="Arial" w:cs="Arial"/>
          <w:sz w:val="22"/>
          <w:szCs w:val="22"/>
          <w:lang w:val="en-US" w:eastAsia="de-DE"/>
        </w:rPr>
        <w:t>2010.</w:t>
      </w:r>
      <w:r w:rsidRPr="00FC055E">
        <w:rPr>
          <w:rFonts w:ascii="Arial" w:hAnsi="Arial" w:cs="Arial"/>
          <w:sz w:val="22"/>
          <w:szCs w:val="22"/>
          <w:lang w:val="en-US" w:eastAsia="de-DE"/>
        </w:rPr>
        <w:t xml:space="preserve"> The Rise of Global University. 5 New Tensions. </w:t>
      </w:r>
      <w:r w:rsidRPr="003D11E7">
        <w:rPr>
          <w:rFonts w:ascii="Arial" w:hAnsi="Arial" w:cs="Arial"/>
          <w:i/>
          <w:sz w:val="22"/>
          <w:szCs w:val="22"/>
          <w:lang w:val="en-US" w:eastAsia="de-DE"/>
        </w:rPr>
        <w:t>The Chronicle of Higher Education</w:t>
      </w:r>
      <w:r w:rsidRPr="00FC055E">
        <w:rPr>
          <w:rFonts w:ascii="Arial" w:hAnsi="Arial" w:cs="Arial"/>
          <w:sz w:val="22"/>
          <w:szCs w:val="22"/>
          <w:lang w:val="en-US" w:eastAsia="de-DE"/>
        </w:rPr>
        <w:t xml:space="preserve">. </w:t>
      </w:r>
      <w:r w:rsidR="003D11E7" w:rsidRPr="003D11E7">
        <w:rPr>
          <w:rFonts w:ascii="Arial" w:hAnsi="Arial" w:cs="Arial"/>
          <w:sz w:val="22"/>
          <w:szCs w:val="22"/>
          <w:lang w:val="en-US" w:eastAsia="de-DE"/>
        </w:rPr>
        <w:t>http://chronicle.com/article/The-Rise-of-the-Global/65694</w:t>
      </w:r>
      <w:r w:rsidR="003D11E7">
        <w:rPr>
          <w:rFonts w:ascii="Arial" w:hAnsi="Arial" w:cs="Arial"/>
          <w:sz w:val="22"/>
          <w:szCs w:val="22"/>
          <w:lang w:val="en-US" w:eastAsia="de-DE"/>
        </w:rPr>
        <w:t xml:space="preserve"> (</w:t>
      </w:r>
      <w:proofErr w:type="spellStart"/>
      <w:r w:rsidR="003D11E7">
        <w:rPr>
          <w:rFonts w:ascii="Arial" w:hAnsi="Arial" w:cs="Arial"/>
          <w:sz w:val="22"/>
          <w:szCs w:val="22"/>
          <w:lang w:val="en-US" w:eastAsia="de-DE"/>
        </w:rPr>
        <w:t>Zugegriffen</w:t>
      </w:r>
      <w:proofErr w:type="spellEnd"/>
      <w:r w:rsidR="003D11E7">
        <w:rPr>
          <w:rFonts w:ascii="Arial" w:hAnsi="Arial" w:cs="Arial"/>
          <w:sz w:val="22"/>
          <w:szCs w:val="22"/>
          <w:lang w:val="en-US" w:eastAsia="de-DE"/>
        </w:rPr>
        <w:t>: 31. Mai</w:t>
      </w:r>
      <w:r w:rsidR="00330972">
        <w:rPr>
          <w:rFonts w:ascii="Arial" w:hAnsi="Arial" w:cs="Arial"/>
          <w:sz w:val="22"/>
          <w:szCs w:val="22"/>
          <w:lang w:val="en-US" w:eastAsia="de-DE"/>
        </w:rPr>
        <w:t xml:space="preserve"> </w:t>
      </w:r>
      <w:r w:rsidR="003D11E7">
        <w:rPr>
          <w:rFonts w:ascii="Arial" w:hAnsi="Arial" w:cs="Arial"/>
          <w:sz w:val="22"/>
          <w:szCs w:val="22"/>
          <w:lang w:val="en-US" w:eastAsia="de-DE"/>
        </w:rPr>
        <w:t>2016).</w:t>
      </w:r>
    </w:p>
    <w:p w14:paraId="40930EC9" w14:textId="77777777" w:rsidR="00842757" w:rsidRPr="007D4BB1" w:rsidRDefault="00330972" w:rsidP="00287351">
      <w:pPr>
        <w:ind w:left="709" w:hanging="709"/>
        <w:rPr>
          <w:rFonts w:ascii="Arial" w:hAnsi="Arial" w:cs="Arial"/>
          <w:noProof/>
          <w:sz w:val="22"/>
          <w:szCs w:val="22"/>
        </w:rPr>
      </w:pPr>
      <w:r>
        <w:rPr>
          <w:rFonts w:ascii="Arial" w:hAnsi="Arial" w:cs="Arial"/>
          <w:noProof/>
          <w:sz w:val="22"/>
          <w:szCs w:val="22"/>
          <w:lang w:val="en-GB"/>
        </w:rPr>
        <w:t>Merton, Robert K. 1949.</w:t>
      </w:r>
      <w:r w:rsidR="00842757" w:rsidRPr="00FC055E">
        <w:rPr>
          <w:rFonts w:ascii="Arial" w:hAnsi="Arial" w:cs="Arial"/>
          <w:noProof/>
          <w:sz w:val="22"/>
          <w:szCs w:val="22"/>
          <w:lang w:val="en-GB"/>
        </w:rPr>
        <w:t xml:space="preserve"> Science and Democratic Social Structure. </w:t>
      </w:r>
      <w:r>
        <w:rPr>
          <w:rFonts w:ascii="Arial" w:hAnsi="Arial" w:cs="Arial"/>
          <w:noProof/>
          <w:sz w:val="22"/>
          <w:szCs w:val="22"/>
          <w:lang w:val="en-GB"/>
        </w:rPr>
        <w:t>In</w:t>
      </w:r>
      <w:r w:rsidR="00842757" w:rsidRPr="00FC055E">
        <w:rPr>
          <w:rFonts w:ascii="Arial" w:hAnsi="Arial" w:cs="Arial"/>
          <w:noProof/>
          <w:sz w:val="22"/>
          <w:szCs w:val="22"/>
          <w:lang w:val="en-GB"/>
        </w:rPr>
        <w:t xml:space="preserve"> </w:t>
      </w:r>
      <w:r w:rsidR="00842757" w:rsidRPr="00330972">
        <w:rPr>
          <w:rFonts w:ascii="Arial" w:hAnsi="Arial" w:cs="Arial"/>
          <w:i/>
          <w:iCs/>
          <w:noProof/>
          <w:sz w:val="22"/>
          <w:szCs w:val="22"/>
          <w:lang w:val="en-GB"/>
        </w:rPr>
        <w:t>Social Theory and Social Structure. Toward the Codification of Theory and Research</w:t>
      </w:r>
      <w:r w:rsidR="00842757" w:rsidRPr="00FC055E">
        <w:rPr>
          <w:rFonts w:ascii="Arial" w:hAnsi="Arial" w:cs="Arial"/>
          <w:noProof/>
          <w:sz w:val="22"/>
          <w:szCs w:val="22"/>
          <w:lang w:val="en-GB"/>
        </w:rPr>
        <w:t xml:space="preserve">, </w:t>
      </w:r>
      <w:r>
        <w:rPr>
          <w:rFonts w:ascii="Arial" w:hAnsi="Arial" w:cs="Arial"/>
          <w:noProof/>
          <w:sz w:val="22"/>
          <w:szCs w:val="22"/>
          <w:lang w:val="en-GB"/>
        </w:rPr>
        <w:t xml:space="preserve">Hrsg. </w:t>
      </w:r>
      <w:r w:rsidRPr="00C4044B">
        <w:rPr>
          <w:rFonts w:ascii="Arial" w:hAnsi="Arial" w:cs="Arial"/>
          <w:noProof/>
          <w:sz w:val="22"/>
          <w:szCs w:val="22"/>
          <w:lang w:val="en-US"/>
        </w:rPr>
        <w:t xml:space="preserve">Robert K. Merton, 307-316. </w:t>
      </w:r>
      <w:r w:rsidR="00842757" w:rsidRPr="007D4BB1">
        <w:rPr>
          <w:rFonts w:ascii="Arial" w:hAnsi="Arial" w:cs="Arial"/>
          <w:noProof/>
          <w:sz w:val="22"/>
          <w:szCs w:val="22"/>
        </w:rPr>
        <w:t>Glencoe, Ill.: Free Press.</w:t>
      </w:r>
    </w:p>
    <w:p w14:paraId="64AB1154" w14:textId="34453929" w:rsidR="00842757" w:rsidRPr="00FC055E" w:rsidRDefault="00330972" w:rsidP="00287351">
      <w:pPr>
        <w:ind w:left="709" w:hanging="709"/>
        <w:rPr>
          <w:rFonts w:ascii="Arial" w:hAnsi="Arial" w:cs="Arial"/>
          <w:noProof/>
          <w:sz w:val="22"/>
          <w:szCs w:val="22"/>
        </w:rPr>
      </w:pPr>
      <w:r>
        <w:rPr>
          <w:rFonts w:ascii="Arial" w:hAnsi="Arial" w:cs="Arial"/>
          <w:noProof/>
          <w:sz w:val="22"/>
          <w:szCs w:val="22"/>
        </w:rPr>
        <w:t>Münch, Richard. 2011.</w:t>
      </w:r>
      <w:r w:rsidR="00842757" w:rsidRPr="00FC055E">
        <w:rPr>
          <w:rFonts w:ascii="Arial" w:hAnsi="Arial" w:cs="Arial"/>
          <w:noProof/>
          <w:sz w:val="22"/>
          <w:szCs w:val="22"/>
        </w:rPr>
        <w:t xml:space="preserve"> </w:t>
      </w:r>
      <w:r w:rsidR="00842757" w:rsidRPr="00330972">
        <w:rPr>
          <w:rFonts w:ascii="Arial" w:hAnsi="Arial" w:cs="Arial"/>
          <w:i/>
          <w:noProof/>
          <w:sz w:val="22"/>
          <w:szCs w:val="22"/>
        </w:rPr>
        <w:t>Akademischer Kapitalismus. Über die politische Ökonomie der Hochschulreform</w:t>
      </w:r>
      <w:r w:rsidR="00B8015B">
        <w:rPr>
          <w:rFonts w:ascii="Arial" w:hAnsi="Arial" w:cs="Arial"/>
          <w:noProof/>
          <w:sz w:val="22"/>
          <w:szCs w:val="22"/>
        </w:rPr>
        <w:t>. Berlin: Suhrkamp.</w:t>
      </w:r>
    </w:p>
    <w:p w14:paraId="11C4BB54" w14:textId="77777777" w:rsidR="00330972" w:rsidRPr="00C4044B" w:rsidRDefault="00A35F3A" w:rsidP="00330972">
      <w:pPr>
        <w:ind w:left="709" w:hanging="709"/>
        <w:rPr>
          <w:rFonts w:ascii="Arial" w:hAnsi="Arial" w:cs="Arial"/>
          <w:noProof/>
          <w:sz w:val="22"/>
          <w:szCs w:val="22"/>
          <w:lang w:val="en-US"/>
        </w:rPr>
      </w:pPr>
      <w:r w:rsidRPr="00FC055E">
        <w:rPr>
          <w:rFonts w:ascii="Arial" w:hAnsi="Arial" w:cs="Arial"/>
          <w:noProof/>
          <w:sz w:val="22"/>
          <w:szCs w:val="22"/>
        </w:rPr>
        <w:t>Münch, Richard</w:t>
      </w:r>
      <w:r w:rsidR="00330972">
        <w:rPr>
          <w:rFonts w:ascii="Arial" w:hAnsi="Arial" w:cs="Arial"/>
          <w:noProof/>
          <w:sz w:val="22"/>
          <w:szCs w:val="22"/>
        </w:rPr>
        <w:t>. 2015.</w:t>
      </w:r>
      <w:r w:rsidRPr="00FC055E">
        <w:rPr>
          <w:rFonts w:ascii="Arial" w:hAnsi="Arial" w:cs="Arial"/>
          <w:noProof/>
          <w:sz w:val="22"/>
          <w:szCs w:val="22"/>
        </w:rPr>
        <w:t xml:space="preserve"> </w:t>
      </w:r>
      <w:r w:rsidR="00506907" w:rsidRPr="00FC055E">
        <w:rPr>
          <w:rFonts w:ascii="Arial" w:hAnsi="Arial" w:cs="Arial"/>
          <w:noProof/>
          <w:sz w:val="22"/>
          <w:szCs w:val="22"/>
        </w:rPr>
        <w:t xml:space="preserve">Alle Macht den Zahlen! Zur Soziologie des Zitationsindexes. </w:t>
      </w:r>
      <w:r w:rsidR="00506907" w:rsidRPr="00C4044B">
        <w:rPr>
          <w:rFonts w:ascii="Arial" w:hAnsi="Arial" w:cs="Arial"/>
          <w:i/>
          <w:noProof/>
          <w:sz w:val="22"/>
          <w:szCs w:val="22"/>
          <w:lang w:val="en-US"/>
        </w:rPr>
        <w:t>Soziale Welt</w:t>
      </w:r>
      <w:r w:rsidR="00506907" w:rsidRPr="00C4044B">
        <w:rPr>
          <w:rFonts w:ascii="Arial" w:hAnsi="Arial" w:cs="Arial"/>
          <w:noProof/>
          <w:sz w:val="22"/>
          <w:szCs w:val="22"/>
          <w:lang w:val="en-US"/>
        </w:rPr>
        <w:t xml:space="preserve"> 66(2): 149-160.</w:t>
      </w:r>
    </w:p>
    <w:p w14:paraId="6D4ABC96" w14:textId="77777777" w:rsidR="00842757" w:rsidRPr="00FC055E" w:rsidRDefault="00842757" w:rsidP="00287351">
      <w:pPr>
        <w:ind w:left="709" w:hanging="709"/>
        <w:rPr>
          <w:rFonts w:ascii="Arial" w:hAnsi="Arial" w:cs="Arial"/>
          <w:noProof/>
          <w:sz w:val="22"/>
          <w:szCs w:val="22"/>
          <w:lang w:val="en-GB"/>
        </w:rPr>
      </w:pPr>
      <w:r w:rsidRPr="00FC055E">
        <w:rPr>
          <w:rFonts w:ascii="Arial" w:hAnsi="Arial" w:cs="Arial"/>
          <w:noProof/>
          <w:sz w:val="22"/>
          <w:szCs w:val="22"/>
          <w:lang w:val="en-US"/>
        </w:rPr>
        <w:t>P</w:t>
      </w:r>
      <w:r w:rsidR="00330972">
        <w:rPr>
          <w:rFonts w:ascii="Arial" w:hAnsi="Arial" w:cs="Arial"/>
          <w:noProof/>
          <w:sz w:val="22"/>
          <w:szCs w:val="22"/>
          <w:lang w:val="en-US"/>
        </w:rPr>
        <w:t>helps, Edmund S.</w:t>
      </w:r>
      <w:r w:rsidR="00B6478E">
        <w:rPr>
          <w:rFonts w:ascii="Arial" w:hAnsi="Arial" w:cs="Arial"/>
          <w:noProof/>
          <w:sz w:val="22"/>
          <w:szCs w:val="22"/>
          <w:lang w:val="en-US"/>
        </w:rPr>
        <w:t xml:space="preserve"> 1972</w:t>
      </w:r>
      <w:r w:rsidR="00330972">
        <w:rPr>
          <w:rFonts w:ascii="Arial" w:hAnsi="Arial" w:cs="Arial"/>
          <w:noProof/>
          <w:sz w:val="22"/>
          <w:szCs w:val="22"/>
          <w:lang w:val="en-US"/>
        </w:rPr>
        <w:t>.</w:t>
      </w:r>
      <w:r w:rsidRPr="00FC055E">
        <w:rPr>
          <w:rFonts w:ascii="Arial" w:hAnsi="Arial" w:cs="Arial"/>
          <w:noProof/>
          <w:sz w:val="22"/>
          <w:szCs w:val="22"/>
          <w:lang w:val="en-US"/>
        </w:rPr>
        <w:t xml:space="preserve"> The Statistical Theory of Ra</w:t>
      </w:r>
      <w:r w:rsidRPr="00FC055E">
        <w:rPr>
          <w:rFonts w:ascii="Arial" w:hAnsi="Arial" w:cs="Arial"/>
          <w:noProof/>
          <w:sz w:val="22"/>
          <w:szCs w:val="22"/>
          <w:lang w:val="en-GB"/>
        </w:rPr>
        <w:t xml:space="preserve">cism and Sexism. </w:t>
      </w:r>
      <w:r w:rsidRPr="00330972">
        <w:rPr>
          <w:rFonts w:ascii="Arial" w:hAnsi="Arial" w:cs="Arial"/>
          <w:i/>
          <w:iCs/>
          <w:noProof/>
          <w:sz w:val="22"/>
          <w:szCs w:val="22"/>
          <w:lang w:val="en-GB"/>
        </w:rPr>
        <w:t>American Economic Review</w:t>
      </w:r>
      <w:r w:rsidRPr="00FC055E">
        <w:rPr>
          <w:rFonts w:ascii="Arial" w:hAnsi="Arial" w:cs="Arial"/>
          <w:i/>
          <w:iCs/>
          <w:noProof/>
          <w:sz w:val="22"/>
          <w:szCs w:val="22"/>
          <w:lang w:val="en-GB"/>
        </w:rPr>
        <w:t xml:space="preserve"> 62</w:t>
      </w:r>
      <w:r w:rsidR="00330972">
        <w:rPr>
          <w:rFonts w:ascii="Arial" w:hAnsi="Arial" w:cs="Arial"/>
          <w:noProof/>
          <w:sz w:val="22"/>
          <w:szCs w:val="22"/>
          <w:lang w:val="en-GB"/>
        </w:rPr>
        <w:t>(4):</w:t>
      </w:r>
      <w:r w:rsidRPr="00FC055E">
        <w:rPr>
          <w:rFonts w:ascii="Arial" w:hAnsi="Arial" w:cs="Arial"/>
          <w:noProof/>
          <w:sz w:val="22"/>
          <w:szCs w:val="22"/>
          <w:lang w:val="en-GB"/>
        </w:rPr>
        <w:t xml:space="preserve"> 659-661.</w:t>
      </w:r>
    </w:p>
    <w:p w14:paraId="6731B77B" w14:textId="77777777" w:rsidR="00842757" w:rsidRPr="00FC055E" w:rsidRDefault="00330972" w:rsidP="00287351">
      <w:pPr>
        <w:ind w:left="709" w:hanging="709"/>
        <w:rPr>
          <w:rFonts w:ascii="Arial" w:hAnsi="Arial" w:cs="Arial"/>
          <w:noProof/>
          <w:sz w:val="22"/>
          <w:szCs w:val="22"/>
          <w:lang w:val="en-GB"/>
        </w:rPr>
      </w:pPr>
      <w:r>
        <w:rPr>
          <w:rFonts w:ascii="Arial" w:hAnsi="Arial" w:cs="Arial"/>
          <w:noProof/>
          <w:sz w:val="22"/>
          <w:szCs w:val="22"/>
          <w:lang w:val="en-GB"/>
        </w:rPr>
        <w:t>Rivera, Lauren A. 2011.</w:t>
      </w:r>
      <w:r w:rsidR="00842757" w:rsidRPr="00FC055E">
        <w:rPr>
          <w:rFonts w:ascii="Arial" w:hAnsi="Arial" w:cs="Arial"/>
          <w:noProof/>
          <w:sz w:val="22"/>
          <w:szCs w:val="22"/>
          <w:lang w:val="en-GB"/>
        </w:rPr>
        <w:t xml:space="preserve"> Ivies, Extracurriculars, and Exclusion: Elite employers’ Use of Educational Credentials. </w:t>
      </w:r>
      <w:r w:rsidR="00842757" w:rsidRPr="00330972">
        <w:rPr>
          <w:rFonts w:ascii="Arial" w:hAnsi="Arial" w:cs="Arial"/>
          <w:i/>
          <w:noProof/>
          <w:sz w:val="22"/>
          <w:szCs w:val="22"/>
          <w:lang w:val="en-GB"/>
        </w:rPr>
        <w:t>Research in Social Stratification and Mobility</w:t>
      </w:r>
      <w:r w:rsidR="00842757" w:rsidRPr="00FC055E">
        <w:rPr>
          <w:rFonts w:ascii="Arial" w:hAnsi="Arial" w:cs="Arial"/>
          <w:noProof/>
          <w:sz w:val="22"/>
          <w:szCs w:val="22"/>
          <w:lang w:val="en-GB"/>
        </w:rPr>
        <w:t xml:space="preserve"> 29(1): 71-90.</w:t>
      </w:r>
    </w:p>
    <w:p w14:paraId="7958E696" w14:textId="77777777" w:rsidR="00842757" w:rsidRPr="00FC055E" w:rsidRDefault="00330972" w:rsidP="00287351">
      <w:pPr>
        <w:ind w:left="709" w:hanging="709"/>
        <w:rPr>
          <w:rFonts w:ascii="Arial" w:hAnsi="Arial" w:cs="Arial"/>
          <w:noProof/>
          <w:sz w:val="22"/>
          <w:szCs w:val="22"/>
          <w:lang w:val="en-GB"/>
        </w:rPr>
      </w:pPr>
      <w:r>
        <w:rPr>
          <w:rFonts w:ascii="Arial" w:hAnsi="Arial" w:cs="Arial"/>
          <w:bCs/>
          <w:noProof/>
          <w:sz w:val="22"/>
          <w:szCs w:val="22"/>
          <w:lang w:val="en-GB"/>
        </w:rPr>
        <w:t>Sklair, Leslie. 2001.</w:t>
      </w:r>
      <w:r w:rsidR="00842757" w:rsidRPr="00FC055E">
        <w:rPr>
          <w:rFonts w:ascii="Arial" w:hAnsi="Arial" w:cs="Arial"/>
          <w:bCs/>
          <w:noProof/>
          <w:sz w:val="22"/>
          <w:szCs w:val="22"/>
          <w:lang w:val="en-GB"/>
        </w:rPr>
        <w:t xml:space="preserve"> </w:t>
      </w:r>
      <w:r w:rsidR="00842757" w:rsidRPr="00330972">
        <w:rPr>
          <w:rFonts w:ascii="Arial" w:hAnsi="Arial" w:cs="Arial"/>
          <w:bCs/>
          <w:i/>
          <w:noProof/>
          <w:sz w:val="22"/>
          <w:szCs w:val="22"/>
          <w:lang w:val="en-GB"/>
        </w:rPr>
        <w:t>The Transnational Capitalist Class</w:t>
      </w:r>
      <w:r w:rsidR="00842757" w:rsidRPr="00FC055E">
        <w:rPr>
          <w:rFonts w:ascii="Arial" w:hAnsi="Arial" w:cs="Arial"/>
          <w:bCs/>
          <w:noProof/>
          <w:sz w:val="22"/>
          <w:szCs w:val="22"/>
          <w:lang w:val="en-GB"/>
        </w:rPr>
        <w:t>. Oxford &amp; Malden: Blackwell.</w:t>
      </w:r>
    </w:p>
    <w:p w14:paraId="629300D3" w14:textId="77777777" w:rsidR="00842757" w:rsidRPr="00CD4861" w:rsidRDefault="00330972" w:rsidP="00CD4861">
      <w:pPr>
        <w:ind w:left="709" w:hanging="709"/>
        <w:rPr>
          <w:rFonts w:ascii="Arial" w:hAnsi="Arial" w:cs="Arial"/>
          <w:b/>
          <w:noProof/>
          <w:sz w:val="22"/>
          <w:szCs w:val="22"/>
          <w:lang w:val="en-GB"/>
        </w:rPr>
      </w:pPr>
      <w:r w:rsidRPr="00CD4861">
        <w:rPr>
          <w:rFonts w:ascii="Arial" w:hAnsi="Arial" w:cs="Arial"/>
          <w:noProof/>
          <w:sz w:val="22"/>
          <w:szCs w:val="22"/>
          <w:lang w:val="en-GB"/>
        </w:rPr>
        <w:t>UNESCO. 2014.</w:t>
      </w:r>
      <w:r w:rsidR="00842757" w:rsidRPr="00CD4861">
        <w:rPr>
          <w:rFonts w:ascii="Arial" w:hAnsi="Arial" w:cs="Arial"/>
          <w:noProof/>
          <w:sz w:val="22"/>
          <w:szCs w:val="22"/>
          <w:lang w:val="en-GB"/>
        </w:rPr>
        <w:t xml:space="preserve"> </w:t>
      </w:r>
      <w:r w:rsidR="00842757" w:rsidRPr="00CD4861">
        <w:rPr>
          <w:rFonts w:ascii="Arial" w:hAnsi="Arial" w:cs="Arial"/>
          <w:i/>
          <w:noProof/>
          <w:sz w:val="22"/>
          <w:szCs w:val="22"/>
          <w:lang w:val="en-GB"/>
        </w:rPr>
        <w:t>Global Flow of Tertiary-Level Students</w:t>
      </w:r>
      <w:r w:rsidR="00842757" w:rsidRPr="00CD4861">
        <w:rPr>
          <w:rFonts w:ascii="Arial" w:hAnsi="Arial" w:cs="Arial"/>
          <w:noProof/>
          <w:sz w:val="22"/>
          <w:szCs w:val="22"/>
          <w:lang w:val="en-GB"/>
        </w:rPr>
        <w:t xml:space="preserve">. </w:t>
      </w:r>
      <w:r w:rsidRPr="00CD4861">
        <w:rPr>
          <w:rFonts w:ascii="Arial" w:hAnsi="Arial" w:cs="Arial"/>
          <w:noProof/>
          <w:sz w:val="22"/>
          <w:szCs w:val="22"/>
          <w:lang w:val="en-GB"/>
        </w:rPr>
        <w:t xml:space="preserve">www.uis.unesco.org/Education/Pages/international-student-flow-viz.aspx </w:t>
      </w:r>
      <w:r w:rsidR="00842757" w:rsidRPr="00CD4861">
        <w:rPr>
          <w:rFonts w:ascii="Arial" w:hAnsi="Arial" w:cs="Arial"/>
          <w:noProof/>
          <w:sz w:val="22"/>
          <w:szCs w:val="22"/>
          <w:lang w:val="en-GB"/>
        </w:rPr>
        <w:t>(</w:t>
      </w:r>
      <w:r w:rsidRPr="00CD4861">
        <w:rPr>
          <w:rStyle w:val="full-story-issueno"/>
          <w:rFonts w:ascii="Arial" w:hAnsi="Arial" w:cs="Arial"/>
          <w:noProof/>
          <w:sz w:val="22"/>
          <w:szCs w:val="22"/>
          <w:lang w:val="en-GB"/>
        </w:rPr>
        <w:t>Zugegriffen 31. Mai 2016).</w:t>
      </w:r>
    </w:p>
    <w:p w14:paraId="3433D242" w14:textId="1017531C" w:rsidR="00006C2D" w:rsidRPr="00CD4861" w:rsidRDefault="00330972" w:rsidP="00CD4861">
      <w:pPr>
        <w:ind w:left="709" w:hanging="709"/>
        <w:rPr>
          <w:rFonts w:ascii="Arial" w:hAnsi="Arial" w:cs="Arial"/>
          <w:noProof/>
          <w:sz w:val="22"/>
          <w:szCs w:val="22"/>
          <w:lang w:val="en-GB"/>
        </w:rPr>
      </w:pPr>
      <w:r>
        <w:rPr>
          <w:rFonts w:ascii="Arial" w:hAnsi="Arial" w:cs="Arial"/>
          <w:noProof/>
          <w:sz w:val="22"/>
          <w:szCs w:val="22"/>
          <w:lang w:val="en-GB"/>
        </w:rPr>
        <w:t>Useem, Michael, und Jerome Karabel. 1986.</w:t>
      </w:r>
      <w:r w:rsidR="00842757" w:rsidRPr="00FC055E">
        <w:rPr>
          <w:rFonts w:ascii="Arial" w:hAnsi="Arial" w:cs="Arial"/>
          <w:noProof/>
          <w:sz w:val="22"/>
          <w:szCs w:val="22"/>
          <w:lang w:val="en-GB"/>
        </w:rPr>
        <w:t xml:space="preserve"> Pathways to Top Corporate Management. </w:t>
      </w:r>
      <w:r w:rsidR="00842757" w:rsidRPr="00330972">
        <w:rPr>
          <w:rFonts w:ascii="Arial" w:hAnsi="Arial" w:cs="Arial"/>
          <w:i/>
          <w:noProof/>
          <w:sz w:val="22"/>
          <w:szCs w:val="22"/>
          <w:lang w:val="en-GB"/>
        </w:rPr>
        <w:t>American Sociological Review</w:t>
      </w:r>
      <w:r w:rsidR="00842757" w:rsidRPr="00FC055E">
        <w:rPr>
          <w:rFonts w:ascii="Arial" w:hAnsi="Arial" w:cs="Arial"/>
          <w:noProof/>
          <w:sz w:val="22"/>
          <w:szCs w:val="22"/>
          <w:lang w:val="en-GB"/>
        </w:rPr>
        <w:t xml:space="preserve"> 51(2): 184-200.</w:t>
      </w:r>
    </w:p>
    <w:sectPr w:rsidR="00006C2D" w:rsidRPr="00CD4861" w:rsidSect="009447A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77E47" w14:textId="77777777" w:rsidR="00C65B4D" w:rsidRDefault="00C65B4D">
      <w:r>
        <w:separator/>
      </w:r>
    </w:p>
  </w:endnote>
  <w:endnote w:type="continuationSeparator" w:id="0">
    <w:p w14:paraId="30158C8D" w14:textId="77777777" w:rsidR="00C65B4D" w:rsidRDefault="00C6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893EA" w14:textId="788DC8EF" w:rsidR="00DF3AA3" w:rsidRPr="00875264" w:rsidRDefault="00DF3AA3">
    <w:pPr>
      <w:pStyle w:val="Fuzeile"/>
      <w:jc w:val="center"/>
      <w:rPr>
        <w:rFonts w:ascii="Arial" w:hAnsi="Arial" w:cs="Arial"/>
        <w:sz w:val="22"/>
        <w:szCs w:val="22"/>
      </w:rPr>
    </w:pPr>
    <w:r w:rsidRPr="00875264">
      <w:rPr>
        <w:rFonts w:ascii="Arial" w:hAnsi="Arial" w:cs="Arial"/>
        <w:sz w:val="22"/>
        <w:szCs w:val="22"/>
      </w:rPr>
      <w:fldChar w:fldCharType="begin"/>
    </w:r>
    <w:r w:rsidRPr="00875264">
      <w:rPr>
        <w:rFonts w:ascii="Arial" w:hAnsi="Arial" w:cs="Arial"/>
        <w:sz w:val="22"/>
        <w:szCs w:val="22"/>
      </w:rPr>
      <w:instrText>PAGE   \* MERGEFORMAT</w:instrText>
    </w:r>
    <w:r w:rsidRPr="00875264">
      <w:rPr>
        <w:rFonts w:ascii="Arial" w:hAnsi="Arial" w:cs="Arial"/>
        <w:sz w:val="22"/>
        <w:szCs w:val="22"/>
      </w:rPr>
      <w:fldChar w:fldCharType="separate"/>
    </w:r>
    <w:r w:rsidR="00451E04">
      <w:rPr>
        <w:rFonts w:ascii="Arial" w:hAnsi="Arial" w:cs="Arial"/>
        <w:noProof/>
        <w:sz w:val="22"/>
        <w:szCs w:val="22"/>
      </w:rPr>
      <w:t>1</w:t>
    </w:r>
    <w:r w:rsidRPr="00875264">
      <w:rPr>
        <w:rFonts w:ascii="Arial" w:hAnsi="Arial" w:cs="Arial"/>
        <w:noProof/>
        <w:sz w:val="22"/>
        <w:szCs w:val="22"/>
      </w:rPr>
      <w:fldChar w:fldCharType="end"/>
    </w:r>
  </w:p>
  <w:p w14:paraId="474F6939" w14:textId="77777777" w:rsidR="00DF3AA3" w:rsidRDefault="00DF3A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F484F" w14:textId="77777777" w:rsidR="00C65B4D" w:rsidRDefault="00C65B4D">
      <w:r>
        <w:separator/>
      </w:r>
    </w:p>
  </w:footnote>
  <w:footnote w:type="continuationSeparator" w:id="0">
    <w:p w14:paraId="74FD69E4" w14:textId="77777777" w:rsidR="00C65B4D" w:rsidRDefault="00C65B4D">
      <w:r>
        <w:continuationSeparator/>
      </w:r>
    </w:p>
  </w:footnote>
  <w:footnote w:id="1">
    <w:p w14:paraId="7837789E" w14:textId="1556818E" w:rsidR="005A0634" w:rsidRPr="00451E04" w:rsidRDefault="005A0634">
      <w:pPr>
        <w:pStyle w:val="Funotentext"/>
        <w:rPr>
          <w:rFonts w:ascii="Arial" w:hAnsi="Arial" w:cs="Arial"/>
        </w:rPr>
      </w:pPr>
      <w:r w:rsidRPr="00451E04">
        <w:rPr>
          <w:rStyle w:val="Funotenzeichen"/>
          <w:rFonts w:ascii="Arial" w:hAnsi="Arial" w:cs="Arial"/>
        </w:rPr>
        <w:footnoteRef/>
      </w:r>
      <w:r w:rsidRPr="00451E04">
        <w:rPr>
          <w:rFonts w:ascii="Arial" w:hAnsi="Arial" w:cs="Arial"/>
        </w:rPr>
        <w:t xml:space="preserve"> </w:t>
      </w:r>
      <w:r w:rsidR="00112C24">
        <w:rPr>
          <w:rFonts w:ascii="Arial" w:hAnsi="Arial" w:cs="Arial"/>
        </w:rPr>
        <w:t>Die Untersuchung ist im Kontext des von der Deutschen Forschungsgemeinschaft geförderten Projekts „Transnationales Humankapital und soziale Ungleichheit</w:t>
      </w:r>
      <w:r w:rsidR="008E2E85">
        <w:rPr>
          <w:rFonts w:ascii="Arial" w:hAnsi="Arial" w:cs="Arial"/>
        </w:rPr>
        <w:t>“</w:t>
      </w:r>
      <w:r w:rsidR="00112C24">
        <w:rPr>
          <w:rFonts w:ascii="Arial" w:hAnsi="Arial" w:cs="Arial"/>
        </w:rPr>
        <w:t xml:space="preserve"> entstanden. </w:t>
      </w:r>
      <w:r w:rsidRPr="00451E04">
        <w:rPr>
          <w:rFonts w:ascii="Arial" w:hAnsi="Arial" w:cs="Arial"/>
        </w:rPr>
        <w:t>Wir bedanken uns bei Laura Einhorn und Ja</w:t>
      </w:r>
      <w:r w:rsidR="00F837C5">
        <w:rPr>
          <w:rFonts w:ascii="Arial" w:hAnsi="Arial" w:cs="Arial"/>
        </w:rPr>
        <w:t xml:space="preserve">nnes </w:t>
      </w:r>
      <w:r w:rsidRPr="00451E04">
        <w:rPr>
          <w:rFonts w:ascii="Arial" w:hAnsi="Arial" w:cs="Arial"/>
        </w:rPr>
        <w:t xml:space="preserve">Jacobsen, die als studentische Hilfskräfte die Datenerhebung durchgeführt haben.  </w:t>
      </w:r>
    </w:p>
  </w:footnote>
  <w:footnote w:id="2">
    <w:p w14:paraId="59881C1A" w14:textId="77777777" w:rsidR="00DF3AA3" w:rsidRPr="00875264" w:rsidRDefault="00DF3AA3" w:rsidP="00B6478E">
      <w:pPr>
        <w:pStyle w:val="Funotentext"/>
        <w:ind w:left="284" w:hanging="284"/>
        <w:rPr>
          <w:rFonts w:ascii="Arial" w:hAnsi="Arial" w:cs="Arial"/>
        </w:rPr>
      </w:pPr>
      <w:r w:rsidRPr="005A0634">
        <w:rPr>
          <w:rStyle w:val="Funotenzeichen"/>
          <w:rFonts w:ascii="Arial" w:hAnsi="Arial" w:cs="Arial"/>
        </w:rPr>
        <w:footnoteRef/>
      </w:r>
      <w:r w:rsidRPr="005A0634">
        <w:rPr>
          <w:rFonts w:ascii="Arial" w:hAnsi="Arial" w:cs="Arial"/>
        </w:rPr>
        <w:t xml:space="preserve"> </w:t>
      </w:r>
      <w:r w:rsidRPr="005A0634">
        <w:rPr>
          <w:rFonts w:ascii="Arial" w:hAnsi="Arial" w:cs="Arial"/>
        </w:rPr>
        <w:tab/>
        <w:t>Wir b</w:t>
      </w:r>
      <w:r w:rsidRPr="00112C24">
        <w:rPr>
          <w:rFonts w:ascii="Arial" w:hAnsi="Arial" w:cs="Arial"/>
        </w:rPr>
        <w:t>en</w:t>
      </w:r>
      <w:r w:rsidRPr="005A0634">
        <w:rPr>
          <w:rFonts w:ascii="Arial" w:hAnsi="Arial" w:cs="Arial"/>
        </w:rPr>
        <w:t>utzen im Folgenden der Einfachheit</w:t>
      </w:r>
      <w:r w:rsidRPr="00875264">
        <w:rPr>
          <w:rFonts w:ascii="Arial" w:hAnsi="Arial" w:cs="Arial"/>
        </w:rPr>
        <w:t xml:space="preserve"> halber allein die männliche Form.</w:t>
      </w:r>
    </w:p>
  </w:footnote>
  <w:footnote w:id="3">
    <w:p w14:paraId="1905A1B6" w14:textId="2D699209" w:rsidR="00DF3AA3" w:rsidRPr="00875264" w:rsidRDefault="00DF3AA3" w:rsidP="00C35210">
      <w:pPr>
        <w:pStyle w:val="Funotentext"/>
        <w:ind w:left="284" w:hanging="284"/>
        <w:jc w:val="both"/>
        <w:rPr>
          <w:rFonts w:ascii="Arial" w:hAnsi="Arial" w:cs="Arial"/>
        </w:rPr>
      </w:pPr>
      <w:r w:rsidRPr="00875264">
        <w:rPr>
          <w:rStyle w:val="Funotenzeichen"/>
          <w:rFonts w:ascii="Arial" w:hAnsi="Arial" w:cs="Arial"/>
        </w:rPr>
        <w:footnoteRef/>
      </w:r>
      <w:r w:rsidRPr="00875264">
        <w:rPr>
          <w:rFonts w:ascii="Arial" w:hAnsi="Arial" w:cs="Arial"/>
        </w:rPr>
        <w:t xml:space="preserve"> </w:t>
      </w:r>
      <w:r>
        <w:rPr>
          <w:rFonts w:ascii="Arial" w:hAnsi="Arial" w:cs="Arial"/>
        </w:rPr>
        <w:tab/>
      </w:r>
      <w:r w:rsidRPr="00875264">
        <w:rPr>
          <w:rFonts w:ascii="Arial" w:hAnsi="Arial" w:cs="Arial"/>
        </w:rPr>
        <w:t>Uns ist bewusst, dass wir mit vier verschiedenen Universitäten nicht das komplexe Gefüge der internationalen Universitätslandschaft abbilden können. Insofern hat unsere Studie einen explorativen Charakter und ist eher als Forschungsnotiz einzuordnen.</w:t>
      </w:r>
      <w:r>
        <w:rPr>
          <w:rFonts w:ascii="Arial" w:hAnsi="Arial" w:cs="Arial"/>
        </w:rPr>
        <w:t xml:space="preserve"> </w:t>
      </w:r>
      <w:r w:rsidRPr="00875264">
        <w:rPr>
          <w:rFonts w:ascii="Arial" w:hAnsi="Arial" w:cs="Arial"/>
        </w:rPr>
        <w:t xml:space="preserve"> </w:t>
      </w:r>
    </w:p>
  </w:footnote>
  <w:footnote w:id="4">
    <w:p w14:paraId="48D24DB4" w14:textId="4F7145F3" w:rsidR="00DF3AA3" w:rsidRPr="00875264" w:rsidRDefault="00DF3AA3" w:rsidP="00A66872">
      <w:pPr>
        <w:pStyle w:val="Funotentext"/>
        <w:ind w:left="284" w:hanging="284"/>
        <w:jc w:val="both"/>
        <w:rPr>
          <w:rFonts w:ascii="Arial" w:hAnsi="Arial" w:cs="Arial"/>
        </w:rPr>
      </w:pPr>
      <w:r w:rsidRPr="00875264">
        <w:rPr>
          <w:rStyle w:val="Funotenzeichen"/>
          <w:rFonts w:ascii="Arial" w:hAnsi="Arial" w:cs="Arial"/>
        </w:rPr>
        <w:footnoteRef/>
      </w:r>
      <w:r w:rsidRPr="00875264">
        <w:rPr>
          <w:rFonts w:ascii="Arial" w:hAnsi="Arial" w:cs="Arial"/>
        </w:rPr>
        <w:t xml:space="preserve"> </w:t>
      </w:r>
      <w:r>
        <w:rPr>
          <w:rFonts w:ascii="Arial" w:hAnsi="Arial" w:cs="Arial"/>
        </w:rPr>
        <w:tab/>
      </w:r>
      <w:r w:rsidR="000A3D6E" w:rsidRPr="00875264">
        <w:rPr>
          <w:rFonts w:ascii="Arial" w:hAnsi="Arial" w:cs="Arial"/>
        </w:rPr>
        <w:t>Die</w:t>
      </w:r>
      <w:r w:rsidR="000A3D6E">
        <w:rPr>
          <w:rFonts w:ascii="Arial" w:hAnsi="Arial" w:cs="Arial"/>
        </w:rPr>
        <w:t xml:space="preserve"> gewählten Länder</w:t>
      </w:r>
      <w:r w:rsidR="000A3D6E" w:rsidRPr="00875264">
        <w:rPr>
          <w:rFonts w:ascii="Arial" w:hAnsi="Arial" w:cs="Arial"/>
        </w:rPr>
        <w:t xml:space="preserve"> </w:t>
      </w:r>
      <w:r w:rsidRPr="00875264">
        <w:rPr>
          <w:rFonts w:ascii="Arial" w:hAnsi="Arial" w:cs="Arial"/>
        </w:rPr>
        <w:t>decken wichtige Herkunftsgruppen von Bildungsausländern an deutschen Hochschulen ab</w:t>
      </w:r>
      <w:r>
        <w:rPr>
          <w:rFonts w:ascii="Arial" w:hAnsi="Arial" w:cs="Arial"/>
        </w:rPr>
        <w:t>,</w:t>
      </w:r>
      <w:r w:rsidRPr="00875264">
        <w:rPr>
          <w:rFonts w:ascii="Arial" w:hAnsi="Arial" w:cs="Arial"/>
        </w:rPr>
        <w:t xml:space="preserve"> vgl.</w:t>
      </w:r>
      <w:r>
        <w:rPr>
          <w:rFonts w:ascii="Arial" w:hAnsi="Arial" w:cs="Arial"/>
        </w:rPr>
        <w:t xml:space="preserve"> </w:t>
      </w:r>
      <w:r w:rsidRPr="00A66872">
        <w:rPr>
          <w:rFonts w:ascii="Arial" w:hAnsi="Arial" w:cs="Arial"/>
        </w:rPr>
        <w:t>www.wissenschaftweltoffen.de/daten</w:t>
      </w:r>
      <w:r>
        <w:rPr>
          <w:rFonts w:ascii="Arial" w:hAnsi="Arial" w:cs="Arial"/>
        </w:rPr>
        <w:t xml:space="preserve"> (Zugegriffen: 30. Mai 2016).</w:t>
      </w:r>
    </w:p>
  </w:footnote>
  <w:footnote w:id="5">
    <w:p w14:paraId="46FBBE25" w14:textId="51D82CB4" w:rsidR="00DF3AA3" w:rsidRPr="00875264" w:rsidRDefault="00DF3AA3" w:rsidP="00B6478E">
      <w:pPr>
        <w:pStyle w:val="Funotentext"/>
        <w:ind w:left="284" w:hanging="284"/>
        <w:jc w:val="both"/>
        <w:rPr>
          <w:rFonts w:ascii="Arial" w:hAnsi="Arial" w:cs="Arial"/>
        </w:rPr>
      </w:pPr>
      <w:r w:rsidRPr="00875264">
        <w:rPr>
          <w:rStyle w:val="Funotenzeichen"/>
          <w:rFonts w:ascii="Arial" w:hAnsi="Arial" w:cs="Arial"/>
        </w:rPr>
        <w:footnoteRef/>
      </w:r>
      <w:r w:rsidRPr="00875264">
        <w:rPr>
          <w:rFonts w:ascii="Arial" w:hAnsi="Arial" w:cs="Arial"/>
        </w:rPr>
        <w:t xml:space="preserve"> </w:t>
      </w:r>
      <w:r w:rsidRPr="00875264">
        <w:rPr>
          <w:rFonts w:ascii="Arial" w:hAnsi="Arial" w:cs="Arial"/>
        </w:rPr>
        <w:tab/>
        <w:t xml:space="preserve">Im Folgenden </w:t>
      </w:r>
      <w:r>
        <w:rPr>
          <w:rFonts w:ascii="Arial" w:hAnsi="Arial" w:cs="Arial"/>
        </w:rPr>
        <w:t>Yale, Penn State, NU Singapore</w:t>
      </w:r>
      <w:r w:rsidRPr="00875264">
        <w:rPr>
          <w:rFonts w:ascii="Arial" w:hAnsi="Arial" w:cs="Arial"/>
        </w:rPr>
        <w:t xml:space="preserve"> und VNU Hanoi.</w:t>
      </w:r>
    </w:p>
  </w:footnote>
  <w:footnote w:id="6">
    <w:p w14:paraId="31D39E80" w14:textId="460E1AE8" w:rsidR="00DF3AA3" w:rsidRPr="00875264" w:rsidRDefault="00DF3AA3" w:rsidP="00B6478E">
      <w:pPr>
        <w:pStyle w:val="Funotentext"/>
        <w:ind w:left="284" w:hanging="284"/>
        <w:rPr>
          <w:rFonts w:ascii="Arial" w:hAnsi="Arial" w:cs="Arial"/>
        </w:rPr>
      </w:pPr>
      <w:r w:rsidRPr="00875264">
        <w:rPr>
          <w:rStyle w:val="Funotenzeichen"/>
          <w:rFonts w:ascii="Arial" w:hAnsi="Arial" w:cs="Arial"/>
        </w:rPr>
        <w:footnoteRef/>
      </w:r>
      <w:r w:rsidRPr="00875264">
        <w:rPr>
          <w:rFonts w:ascii="Arial" w:hAnsi="Arial" w:cs="Arial"/>
        </w:rPr>
        <w:t xml:space="preserve"> </w:t>
      </w:r>
      <w:r w:rsidRPr="00875264">
        <w:rPr>
          <w:rFonts w:ascii="Arial" w:hAnsi="Arial" w:cs="Arial"/>
        </w:rPr>
        <w:tab/>
      </w:r>
      <w:r w:rsidR="00827D86">
        <w:rPr>
          <w:rFonts w:ascii="Arial" w:hAnsi="Arial" w:cs="Arial"/>
        </w:rPr>
        <w:t>Diese Namen gehören zu den häufigsten chinesischen Nachnamen in Singapur (im Jahr 2000), vgl.</w:t>
      </w:r>
      <w:r>
        <w:rPr>
          <w:rFonts w:ascii="Arial" w:hAnsi="Arial" w:cs="Arial"/>
        </w:rPr>
        <w:t xml:space="preserve"> </w:t>
      </w:r>
      <w:r w:rsidRPr="00875264">
        <w:rPr>
          <w:rFonts w:ascii="Arial" w:hAnsi="Arial" w:cs="Arial"/>
        </w:rPr>
        <w:t>web.archive</w:t>
      </w:r>
      <w:r>
        <w:rPr>
          <w:rFonts w:ascii="Arial" w:hAnsi="Arial" w:cs="Arial"/>
        </w:rPr>
        <w:t xml:space="preserve">.org/web/20080223075738, </w:t>
      </w:r>
      <w:r w:rsidRPr="007B4ED3">
        <w:rPr>
          <w:rFonts w:ascii="Arial" w:hAnsi="Arial" w:cs="Arial"/>
        </w:rPr>
        <w:t>www.singstat.gov.sg/pubn/papers/people/chinesesurnames.html</w:t>
      </w:r>
      <w:r>
        <w:rPr>
          <w:rFonts w:ascii="Arial" w:hAnsi="Arial" w:cs="Arial"/>
        </w:rPr>
        <w:t xml:space="preserve"> (Zugegriffen: 30. Mai 2016).</w:t>
      </w:r>
    </w:p>
  </w:footnote>
  <w:footnote w:id="7">
    <w:p w14:paraId="1E745038" w14:textId="77777777" w:rsidR="00DF3AA3" w:rsidRPr="00875264" w:rsidRDefault="00DF3AA3" w:rsidP="00B6478E">
      <w:pPr>
        <w:pStyle w:val="Funotentext"/>
        <w:ind w:left="284" w:hanging="284"/>
        <w:jc w:val="both"/>
        <w:rPr>
          <w:rFonts w:ascii="Arial" w:hAnsi="Arial" w:cs="Arial"/>
        </w:rPr>
      </w:pPr>
      <w:r w:rsidRPr="00875264">
        <w:rPr>
          <w:rStyle w:val="Funotenzeichen"/>
          <w:rFonts w:ascii="Arial" w:hAnsi="Arial" w:cs="Arial"/>
        </w:rPr>
        <w:footnoteRef/>
      </w:r>
      <w:r w:rsidRPr="00875264">
        <w:rPr>
          <w:rFonts w:ascii="Arial" w:hAnsi="Arial" w:cs="Arial"/>
        </w:rPr>
        <w:t xml:space="preserve"> </w:t>
      </w:r>
      <w:r w:rsidRPr="00875264">
        <w:rPr>
          <w:rFonts w:ascii="Arial" w:hAnsi="Arial" w:cs="Arial"/>
        </w:rPr>
        <w:tab/>
        <w:t>Die Auswahl orientiert sich an den von der Deutschen Gesellschaft für Soziologie aufgelisteten S</w:t>
      </w:r>
      <w:r>
        <w:rPr>
          <w:rFonts w:ascii="Arial" w:hAnsi="Arial" w:cs="Arial"/>
        </w:rPr>
        <w:t xml:space="preserve">oziologie-Studiengängen: </w:t>
      </w:r>
      <w:r w:rsidRPr="00875264">
        <w:rPr>
          <w:rFonts w:ascii="Arial" w:hAnsi="Arial" w:cs="Arial"/>
        </w:rPr>
        <w:t>www.studium.org/soziologie/suche/?q=&amp;view=uni</w:t>
      </w:r>
      <w:r w:rsidRPr="00875264">
        <w:rPr>
          <w:rStyle w:val="Hyperlink"/>
          <w:rFonts w:ascii="Arial" w:hAnsi="Arial" w:cs="Arial"/>
          <w:u w:val="none"/>
        </w:rPr>
        <w:t xml:space="preserve"> </w:t>
      </w:r>
      <w:r>
        <w:rPr>
          <w:rFonts w:ascii="Arial" w:hAnsi="Arial" w:cs="Arial"/>
        </w:rPr>
        <w:t>(Zugegriffen: 30. Mai 2016).</w:t>
      </w:r>
    </w:p>
  </w:footnote>
  <w:footnote w:id="8">
    <w:p w14:paraId="6F364544" w14:textId="65408AB6" w:rsidR="00DF3AA3" w:rsidRPr="00875264" w:rsidRDefault="00DF3AA3" w:rsidP="00B6478E">
      <w:pPr>
        <w:pStyle w:val="Funotentext"/>
        <w:ind w:left="284" w:hanging="284"/>
        <w:jc w:val="both"/>
        <w:rPr>
          <w:rFonts w:ascii="Arial" w:hAnsi="Arial" w:cs="Arial"/>
        </w:rPr>
      </w:pPr>
      <w:r w:rsidRPr="00875264">
        <w:rPr>
          <w:rStyle w:val="Funotenzeichen"/>
          <w:rFonts w:ascii="Arial" w:hAnsi="Arial" w:cs="Arial"/>
        </w:rPr>
        <w:footnoteRef/>
      </w:r>
      <w:r w:rsidRPr="00875264">
        <w:rPr>
          <w:rFonts w:ascii="Arial" w:hAnsi="Arial" w:cs="Arial"/>
        </w:rPr>
        <w:t xml:space="preserve"> </w:t>
      </w:r>
      <w:r w:rsidRPr="00875264">
        <w:rPr>
          <w:rFonts w:ascii="Arial" w:hAnsi="Arial" w:cs="Arial"/>
        </w:rPr>
        <w:tab/>
      </w:r>
      <w:r w:rsidR="00653E0C">
        <w:rPr>
          <w:rFonts w:ascii="Arial" w:hAnsi="Arial" w:cs="Arial"/>
        </w:rPr>
        <w:t>Bereits in Programme eingeschriebene Doktoranden haben meist eine Internetpräsenz und eine E-Mail-Adresse der entsprechenden Universität. Deren Fehlen hätte den Adressaten auffallen können.</w:t>
      </w:r>
    </w:p>
  </w:footnote>
  <w:footnote w:id="9">
    <w:p w14:paraId="3C8669DD" w14:textId="0B79A853" w:rsidR="00DF3AA3" w:rsidRPr="00B6478E" w:rsidRDefault="00DF3AA3" w:rsidP="00B6478E">
      <w:pPr>
        <w:ind w:left="284" w:hanging="284"/>
        <w:rPr>
          <w:rFonts w:ascii="Arial" w:hAnsi="Arial" w:cs="Arial"/>
          <w:sz w:val="20"/>
          <w:szCs w:val="20"/>
        </w:rPr>
      </w:pPr>
      <w:r w:rsidRPr="00875264">
        <w:rPr>
          <w:rStyle w:val="Funotenzeichen"/>
          <w:rFonts w:ascii="Arial" w:hAnsi="Arial" w:cs="Arial"/>
          <w:sz w:val="20"/>
          <w:szCs w:val="20"/>
        </w:rPr>
        <w:footnoteRef/>
      </w:r>
      <w:r w:rsidRPr="00875264">
        <w:rPr>
          <w:rFonts w:ascii="Arial" w:hAnsi="Arial" w:cs="Arial"/>
          <w:sz w:val="20"/>
          <w:szCs w:val="20"/>
        </w:rPr>
        <w:t xml:space="preserve"> </w:t>
      </w:r>
      <w:r>
        <w:rPr>
          <w:rFonts w:ascii="Arial" w:hAnsi="Arial" w:cs="Arial"/>
          <w:sz w:val="20"/>
          <w:szCs w:val="20"/>
        </w:rPr>
        <w:tab/>
        <w:t>Signifikant sind die</w:t>
      </w:r>
      <w:r w:rsidRPr="00875264">
        <w:rPr>
          <w:rFonts w:ascii="Arial" w:hAnsi="Arial" w:cs="Arial"/>
          <w:sz w:val="20"/>
          <w:szCs w:val="20"/>
        </w:rPr>
        <w:t xml:space="preserve"> Unterschiede zwischen den beiden asiatischen Universitäten </w:t>
      </w:r>
      <w:r>
        <w:rPr>
          <w:rFonts w:ascii="Arial" w:hAnsi="Arial" w:cs="Arial"/>
          <w:sz w:val="20"/>
          <w:szCs w:val="20"/>
        </w:rPr>
        <w:t>und den Universitäten Yale (p&lt;0,</w:t>
      </w:r>
      <w:r w:rsidRPr="00875264">
        <w:rPr>
          <w:rFonts w:ascii="Arial" w:hAnsi="Arial" w:cs="Arial"/>
          <w:sz w:val="20"/>
          <w:szCs w:val="20"/>
        </w:rPr>
        <w:t>01) und Pen</w:t>
      </w:r>
      <w:r>
        <w:rPr>
          <w:rFonts w:ascii="Arial" w:hAnsi="Arial" w:cs="Arial"/>
          <w:sz w:val="20"/>
          <w:szCs w:val="20"/>
        </w:rPr>
        <w:t>n State (p&lt;0,</w:t>
      </w:r>
      <w:r w:rsidRPr="00875264">
        <w:rPr>
          <w:rFonts w:ascii="Arial" w:hAnsi="Arial" w:cs="Arial"/>
          <w:sz w:val="20"/>
          <w:szCs w:val="20"/>
        </w:rPr>
        <w:t>05), nicht jedoch zwischen</w:t>
      </w:r>
      <w:r>
        <w:rPr>
          <w:rFonts w:ascii="Arial" w:hAnsi="Arial" w:cs="Arial"/>
          <w:sz w:val="20"/>
          <w:szCs w:val="20"/>
        </w:rPr>
        <w:t xml:space="preserve"> den beiden amerikanischen (p=0,</w:t>
      </w:r>
      <w:r w:rsidRPr="00875264">
        <w:rPr>
          <w:rFonts w:ascii="Arial" w:hAnsi="Arial" w:cs="Arial"/>
          <w:sz w:val="20"/>
          <w:szCs w:val="20"/>
        </w:rPr>
        <w:t>14) bzw.</w:t>
      </w:r>
      <w:r>
        <w:rPr>
          <w:rFonts w:ascii="Arial" w:hAnsi="Arial" w:cs="Arial"/>
          <w:sz w:val="20"/>
          <w:szCs w:val="20"/>
        </w:rPr>
        <w:t xml:space="preserve"> asiatischen Universitäten (p=0,</w:t>
      </w:r>
      <w:r w:rsidRPr="00875264">
        <w:rPr>
          <w:rFonts w:ascii="Arial" w:hAnsi="Arial" w:cs="Arial"/>
          <w:sz w:val="20"/>
          <w:szCs w:val="20"/>
        </w:rPr>
        <w:t>44). Diese Signifikanzwerte sind nur begrenzt hilfreich, da die Fallzahl jeweils gering ist und es sich zweitens ohnehin um eine Vollerhebung handelt. Daher gehen wir von (im Vergleich zu den asiatischen Universitäten größeren) Unterschieden zwischen Penn State und Yale aus.</w:t>
      </w:r>
    </w:p>
  </w:footnote>
  <w:footnote w:id="10">
    <w:p w14:paraId="6401590C" w14:textId="77777777" w:rsidR="00DF3AA3" w:rsidRPr="00875264" w:rsidRDefault="00DF3AA3" w:rsidP="00B6478E">
      <w:pPr>
        <w:pStyle w:val="Funotentext"/>
        <w:ind w:left="284" w:hanging="284"/>
        <w:jc w:val="both"/>
        <w:rPr>
          <w:rFonts w:ascii="Arial" w:hAnsi="Arial" w:cs="Arial"/>
        </w:rPr>
      </w:pPr>
      <w:r w:rsidRPr="00875264">
        <w:rPr>
          <w:rStyle w:val="Funotenzeichen"/>
          <w:rFonts w:ascii="Arial" w:hAnsi="Arial" w:cs="Arial"/>
        </w:rPr>
        <w:footnoteRef/>
      </w:r>
      <w:r w:rsidRPr="00875264">
        <w:rPr>
          <w:rFonts w:ascii="Arial" w:hAnsi="Arial" w:cs="Arial"/>
        </w:rPr>
        <w:t xml:space="preserve"> </w:t>
      </w:r>
      <w:r w:rsidRPr="00875264">
        <w:rPr>
          <w:rFonts w:ascii="Arial" w:hAnsi="Arial" w:cs="Arial"/>
        </w:rPr>
        <w:tab/>
        <w:t>Eine alternative Kodierung der Verbindlichkeit der Antwort über den Anteil positiver Adjektive wie „</w:t>
      </w:r>
      <w:proofErr w:type="spellStart"/>
      <w:r w:rsidRPr="00875264">
        <w:rPr>
          <w:rFonts w:ascii="Arial" w:hAnsi="Arial" w:cs="Arial"/>
        </w:rPr>
        <w:t>great</w:t>
      </w:r>
      <w:proofErr w:type="spellEnd"/>
      <w:r w:rsidRPr="00875264">
        <w:rPr>
          <w:rFonts w:ascii="Arial" w:hAnsi="Arial" w:cs="Arial"/>
        </w:rPr>
        <w:t>“, „</w:t>
      </w:r>
      <w:proofErr w:type="spellStart"/>
      <w:r w:rsidRPr="00875264">
        <w:rPr>
          <w:rFonts w:ascii="Arial" w:hAnsi="Arial" w:cs="Arial"/>
        </w:rPr>
        <w:t>interesting</w:t>
      </w:r>
      <w:proofErr w:type="spellEnd"/>
      <w:r w:rsidRPr="00875264">
        <w:rPr>
          <w:rFonts w:ascii="Arial" w:hAnsi="Arial" w:cs="Arial"/>
        </w:rPr>
        <w:t>“, „happy“ oder „open“ an der Gesamtwortzahl bestätigt unsere Ergebnisse.</w:t>
      </w:r>
    </w:p>
  </w:footnote>
  <w:footnote w:id="11">
    <w:p w14:paraId="22C210DB" w14:textId="1F0F1D5F" w:rsidR="00DF3AA3" w:rsidRPr="00875264" w:rsidRDefault="00DF3AA3" w:rsidP="00B6478E">
      <w:pPr>
        <w:pStyle w:val="Funotentext"/>
        <w:ind w:left="284" w:hanging="284"/>
        <w:jc w:val="both"/>
        <w:rPr>
          <w:rFonts w:ascii="Arial" w:hAnsi="Arial" w:cs="Arial"/>
        </w:rPr>
      </w:pPr>
      <w:r w:rsidRPr="00875264">
        <w:rPr>
          <w:rStyle w:val="Funotenzeichen"/>
          <w:rFonts w:ascii="Arial" w:hAnsi="Arial" w:cs="Arial"/>
        </w:rPr>
        <w:footnoteRef/>
      </w:r>
      <w:r w:rsidRPr="00875264">
        <w:rPr>
          <w:rFonts w:ascii="Arial" w:hAnsi="Arial" w:cs="Arial"/>
        </w:rPr>
        <w:t xml:space="preserve"> </w:t>
      </w:r>
      <w:r w:rsidRPr="00875264">
        <w:rPr>
          <w:rFonts w:ascii="Arial" w:hAnsi="Arial" w:cs="Arial"/>
        </w:rPr>
        <w:tab/>
      </w:r>
      <w:r w:rsidR="001213EE">
        <w:rPr>
          <w:rFonts w:ascii="Arial" w:hAnsi="Arial" w:cs="Arial"/>
        </w:rPr>
        <w:t>Das</w:t>
      </w:r>
      <w:r w:rsidRPr="00875264">
        <w:rPr>
          <w:rFonts w:ascii="Arial" w:hAnsi="Arial" w:cs="Arial"/>
        </w:rPr>
        <w:t xml:space="preserve"> hängt vermutlich auch damit zusammen, dass deutsche Professoren sich am amerikanischen Kommunikationsstil orientieren. Da aber alle Indikatoren in die gleiche Richtung zeigen, vermuten wir auch in diesem Fall einen Effekt der Reputation des Hochschulstandorts USA auf die Verbindlichkeit der Korrespondenz.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D677D7"/>
    <w:multiLevelType w:val="multilevel"/>
    <w:tmpl w:val="E432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16"/>
    <w:rsid w:val="000002D7"/>
    <w:rsid w:val="00000EA8"/>
    <w:rsid w:val="00001E46"/>
    <w:rsid w:val="000021A2"/>
    <w:rsid w:val="0000369A"/>
    <w:rsid w:val="00004DEA"/>
    <w:rsid w:val="00005131"/>
    <w:rsid w:val="00005916"/>
    <w:rsid w:val="00006512"/>
    <w:rsid w:val="000065FE"/>
    <w:rsid w:val="000069E3"/>
    <w:rsid w:val="00006C2D"/>
    <w:rsid w:val="00006FAA"/>
    <w:rsid w:val="00010047"/>
    <w:rsid w:val="000107A2"/>
    <w:rsid w:val="000109DB"/>
    <w:rsid w:val="00010B6E"/>
    <w:rsid w:val="00011835"/>
    <w:rsid w:val="000119C3"/>
    <w:rsid w:val="000119CE"/>
    <w:rsid w:val="00012C16"/>
    <w:rsid w:val="00014F0A"/>
    <w:rsid w:val="000158B4"/>
    <w:rsid w:val="000176A3"/>
    <w:rsid w:val="00017FBF"/>
    <w:rsid w:val="00020F41"/>
    <w:rsid w:val="00021FB1"/>
    <w:rsid w:val="000234DD"/>
    <w:rsid w:val="000239E3"/>
    <w:rsid w:val="00024D10"/>
    <w:rsid w:val="00025A1E"/>
    <w:rsid w:val="00026F0C"/>
    <w:rsid w:val="00027374"/>
    <w:rsid w:val="000274F5"/>
    <w:rsid w:val="00030805"/>
    <w:rsid w:val="000313DA"/>
    <w:rsid w:val="000314D9"/>
    <w:rsid w:val="000319E4"/>
    <w:rsid w:val="00031F8A"/>
    <w:rsid w:val="00032191"/>
    <w:rsid w:val="00032233"/>
    <w:rsid w:val="00032DDC"/>
    <w:rsid w:val="0003408E"/>
    <w:rsid w:val="000359C0"/>
    <w:rsid w:val="000366BE"/>
    <w:rsid w:val="00036AEF"/>
    <w:rsid w:val="00036F66"/>
    <w:rsid w:val="000405EC"/>
    <w:rsid w:val="0004080D"/>
    <w:rsid w:val="00040A19"/>
    <w:rsid w:val="00041DDF"/>
    <w:rsid w:val="000423A5"/>
    <w:rsid w:val="00042466"/>
    <w:rsid w:val="00043BE4"/>
    <w:rsid w:val="00044188"/>
    <w:rsid w:val="00045F18"/>
    <w:rsid w:val="00050999"/>
    <w:rsid w:val="00050ECE"/>
    <w:rsid w:val="000510DE"/>
    <w:rsid w:val="00051A42"/>
    <w:rsid w:val="00053EFE"/>
    <w:rsid w:val="00057959"/>
    <w:rsid w:val="00057E97"/>
    <w:rsid w:val="00060E94"/>
    <w:rsid w:val="0006128B"/>
    <w:rsid w:val="00061F29"/>
    <w:rsid w:val="00062120"/>
    <w:rsid w:val="000625E4"/>
    <w:rsid w:val="00063999"/>
    <w:rsid w:val="00065203"/>
    <w:rsid w:val="0006539D"/>
    <w:rsid w:val="000661D1"/>
    <w:rsid w:val="00066AF4"/>
    <w:rsid w:val="00066B1D"/>
    <w:rsid w:val="00066DB1"/>
    <w:rsid w:val="00067540"/>
    <w:rsid w:val="00067B8F"/>
    <w:rsid w:val="000719B1"/>
    <w:rsid w:val="00072835"/>
    <w:rsid w:val="00072A8F"/>
    <w:rsid w:val="00073265"/>
    <w:rsid w:val="00073F11"/>
    <w:rsid w:val="0007429C"/>
    <w:rsid w:val="00075F88"/>
    <w:rsid w:val="00075FEE"/>
    <w:rsid w:val="00076D1D"/>
    <w:rsid w:val="000775EB"/>
    <w:rsid w:val="00077B8C"/>
    <w:rsid w:val="00083382"/>
    <w:rsid w:val="000841C3"/>
    <w:rsid w:val="000843BE"/>
    <w:rsid w:val="00085FE0"/>
    <w:rsid w:val="00086F70"/>
    <w:rsid w:val="00087EA1"/>
    <w:rsid w:val="000908C1"/>
    <w:rsid w:val="000916BD"/>
    <w:rsid w:val="00091DC5"/>
    <w:rsid w:val="00093ADE"/>
    <w:rsid w:val="00093F3B"/>
    <w:rsid w:val="000959B1"/>
    <w:rsid w:val="00097B13"/>
    <w:rsid w:val="00097DF3"/>
    <w:rsid w:val="000A0B6B"/>
    <w:rsid w:val="000A17B7"/>
    <w:rsid w:val="000A1EB3"/>
    <w:rsid w:val="000A257D"/>
    <w:rsid w:val="000A2C9C"/>
    <w:rsid w:val="000A2E3D"/>
    <w:rsid w:val="000A3135"/>
    <w:rsid w:val="000A37AC"/>
    <w:rsid w:val="000A3D6E"/>
    <w:rsid w:val="000A4877"/>
    <w:rsid w:val="000A4C77"/>
    <w:rsid w:val="000A66AF"/>
    <w:rsid w:val="000A79AE"/>
    <w:rsid w:val="000A7F6E"/>
    <w:rsid w:val="000B09BB"/>
    <w:rsid w:val="000B1247"/>
    <w:rsid w:val="000B2A6F"/>
    <w:rsid w:val="000B33CF"/>
    <w:rsid w:val="000B3B57"/>
    <w:rsid w:val="000B4B6F"/>
    <w:rsid w:val="000B4CD1"/>
    <w:rsid w:val="000B5D53"/>
    <w:rsid w:val="000B6732"/>
    <w:rsid w:val="000B6AC4"/>
    <w:rsid w:val="000B706E"/>
    <w:rsid w:val="000B7712"/>
    <w:rsid w:val="000B7BBE"/>
    <w:rsid w:val="000C0E6E"/>
    <w:rsid w:val="000C0EE8"/>
    <w:rsid w:val="000C110C"/>
    <w:rsid w:val="000C2A5E"/>
    <w:rsid w:val="000C390F"/>
    <w:rsid w:val="000C3D35"/>
    <w:rsid w:val="000C6327"/>
    <w:rsid w:val="000C650D"/>
    <w:rsid w:val="000D0B35"/>
    <w:rsid w:val="000D2C96"/>
    <w:rsid w:val="000D2CD2"/>
    <w:rsid w:val="000D349C"/>
    <w:rsid w:val="000D4FDC"/>
    <w:rsid w:val="000D59C9"/>
    <w:rsid w:val="000D606B"/>
    <w:rsid w:val="000D77FF"/>
    <w:rsid w:val="000D7E12"/>
    <w:rsid w:val="000D7FC2"/>
    <w:rsid w:val="000E00BD"/>
    <w:rsid w:val="000E0CA8"/>
    <w:rsid w:val="000E1595"/>
    <w:rsid w:val="000E1BFE"/>
    <w:rsid w:val="000E22A6"/>
    <w:rsid w:val="000E3DA5"/>
    <w:rsid w:val="000E4D95"/>
    <w:rsid w:val="000E51EE"/>
    <w:rsid w:val="000E58E6"/>
    <w:rsid w:val="000E6A84"/>
    <w:rsid w:val="000E72B4"/>
    <w:rsid w:val="000E74D4"/>
    <w:rsid w:val="000E7ECF"/>
    <w:rsid w:val="000F082C"/>
    <w:rsid w:val="000F1703"/>
    <w:rsid w:val="000F2216"/>
    <w:rsid w:val="000F2475"/>
    <w:rsid w:val="000F39C8"/>
    <w:rsid w:val="000F6A7F"/>
    <w:rsid w:val="000F7B78"/>
    <w:rsid w:val="000F7BCE"/>
    <w:rsid w:val="001007E7"/>
    <w:rsid w:val="00100B0A"/>
    <w:rsid w:val="0010121F"/>
    <w:rsid w:val="001029A3"/>
    <w:rsid w:val="00105732"/>
    <w:rsid w:val="00105EF1"/>
    <w:rsid w:val="00106AE6"/>
    <w:rsid w:val="0010709B"/>
    <w:rsid w:val="00107F1B"/>
    <w:rsid w:val="00112C24"/>
    <w:rsid w:val="00112F0A"/>
    <w:rsid w:val="001152E4"/>
    <w:rsid w:val="001159B1"/>
    <w:rsid w:val="00116389"/>
    <w:rsid w:val="00117CDA"/>
    <w:rsid w:val="00117E9A"/>
    <w:rsid w:val="00117FFA"/>
    <w:rsid w:val="001213EE"/>
    <w:rsid w:val="00121E19"/>
    <w:rsid w:val="0012200E"/>
    <w:rsid w:val="0012252C"/>
    <w:rsid w:val="00122A15"/>
    <w:rsid w:val="00122E44"/>
    <w:rsid w:val="001235B4"/>
    <w:rsid w:val="001241CE"/>
    <w:rsid w:val="001256D4"/>
    <w:rsid w:val="00126FA0"/>
    <w:rsid w:val="0013025D"/>
    <w:rsid w:val="00132680"/>
    <w:rsid w:val="00133C20"/>
    <w:rsid w:val="00134D8C"/>
    <w:rsid w:val="00134E56"/>
    <w:rsid w:val="001350A9"/>
    <w:rsid w:val="00137BA4"/>
    <w:rsid w:val="00140B02"/>
    <w:rsid w:val="00142F95"/>
    <w:rsid w:val="0014313A"/>
    <w:rsid w:val="00143915"/>
    <w:rsid w:val="00143A29"/>
    <w:rsid w:val="00145046"/>
    <w:rsid w:val="0014505F"/>
    <w:rsid w:val="00147BC1"/>
    <w:rsid w:val="00150108"/>
    <w:rsid w:val="00151C2B"/>
    <w:rsid w:val="00152420"/>
    <w:rsid w:val="00152C2F"/>
    <w:rsid w:val="001551BA"/>
    <w:rsid w:val="001555A5"/>
    <w:rsid w:val="00156387"/>
    <w:rsid w:val="00156A34"/>
    <w:rsid w:val="00156D5C"/>
    <w:rsid w:val="00157441"/>
    <w:rsid w:val="0016086B"/>
    <w:rsid w:val="0016146B"/>
    <w:rsid w:val="0016166E"/>
    <w:rsid w:val="00162E31"/>
    <w:rsid w:val="00164F08"/>
    <w:rsid w:val="001655E5"/>
    <w:rsid w:val="00165A1B"/>
    <w:rsid w:val="00165BA6"/>
    <w:rsid w:val="00165D27"/>
    <w:rsid w:val="0016608B"/>
    <w:rsid w:val="001666B9"/>
    <w:rsid w:val="00166C0E"/>
    <w:rsid w:val="0016762C"/>
    <w:rsid w:val="0016768D"/>
    <w:rsid w:val="00167CD5"/>
    <w:rsid w:val="0017009C"/>
    <w:rsid w:val="001712D3"/>
    <w:rsid w:val="001723EB"/>
    <w:rsid w:val="00175101"/>
    <w:rsid w:val="00176F73"/>
    <w:rsid w:val="001770B3"/>
    <w:rsid w:val="00180463"/>
    <w:rsid w:val="00180B47"/>
    <w:rsid w:val="001825DB"/>
    <w:rsid w:val="001841F9"/>
    <w:rsid w:val="00185192"/>
    <w:rsid w:val="00185A2C"/>
    <w:rsid w:val="00185DDD"/>
    <w:rsid w:val="001860B4"/>
    <w:rsid w:val="00186430"/>
    <w:rsid w:val="001868AF"/>
    <w:rsid w:val="001868CD"/>
    <w:rsid w:val="00187AA2"/>
    <w:rsid w:val="0019098B"/>
    <w:rsid w:val="001950CC"/>
    <w:rsid w:val="001969E4"/>
    <w:rsid w:val="00196B11"/>
    <w:rsid w:val="00196C8A"/>
    <w:rsid w:val="001972E8"/>
    <w:rsid w:val="00197BCD"/>
    <w:rsid w:val="001A0173"/>
    <w:rsid w:val="001A0311"/>
    <w:rsid w:val="001A0F63"/>
    <w:rsid w:val="001A37DD"/>
    <w:rsid w:val="001A3E8A"/>
    <w:rsid w:val="001A6DC2"/>
    <w:rsid w:val="001A7945"/>
    <w:rsid w:val="001B0D1F"/>
    <w:rsid w:val="001B1933"/>
    <w:rsid w:val="001B209D"/>
    <w:rsid w:val="001B236C"/>
    <w:rsid w:val="001B2BEE"/>
    <w:rsid w:val="001B305C"/>
    <w:rsid w:val="001B33F3"/>
    <w:rsid w:val="001B4102"/>
    <w:rsid w:val="001B517F"/>
    <w:rsid w:val="001B7BD3"/>
    <w:rsid w:val="001C0343"/>
    <w:rsid w:val="001C2963"/>
    <w:rsid w:val="001C3724"/>
    <w:rsid w:val="001C49D9"/>
    <w:rsid w:val="001C58EA"/>
    <w:rsid w:val="001C5A24"/>
    <w:rsid w:val="001C6238"/>
    <w:rsid w:val="001C6AD2"/>
    <w:rsid w:val="001C6BDF"/>
    <w:rsid w:val="001C6E66"/>
    <w:rsid w:val="001C737D"/>
    <w:rsid w:val="001D0010"/>
    <w:rsid w:val="001D2C39"/>
    <w:rsid w:val="001D31CD"/>
    <w:rsid w:val="001D3E92"/>
    <w:rsid w:val="001E1AC8"/>
    <w:rsid w:val="001E1D52"/>
    <w:rsid w:val="001E2E59"/>
    <w:rsid w:val="001E37A5"/>
    <w:rsid w:val="001E5672"/>
    <w:rsid w:val="001E5D61"/>
    <w:rsid w:val="001E5DE7"/>
    <w:rsid w:val="001E62E3"/>
    <w:rsid w:val="001E6987"/>
    <w:rsid w:val="001F160E"/>
    <w:rsid w:val="001F2089"/>
    <w:rsid w:val="001F2420"/>
    <w:rsid w:val="001F4328"/>
    <w:rsid w:val="001F7445"/>
    <w:rsid w:val="0020234E"/>
    <w:rsid w:val="002027B4"/>
    <w:rsid w:val="00202A4E"/>
    <w:rsid w:val="00202D41"/>
    <w:rsid w:val="002031C8"/>
    <w:rsid w:val="00206F27"/>
    <w:rsid w:val="002077CE"/>
    <w:rsid w:val="00207AF2"/>
    <w:rsid w:val="00210257"/>
    <w:rsid w:val="002109A1"/>
    <w:rsid w:val="0021274E"/>
    <w:rsid w:val="00215211"/>
    <w:rsid w:val="002154C1"/>
    <w:rsid w:val="0022252A"/>
    <w:rsid w:val="0022344F"/>
    <w:rsid w:val="002252A5"/>
    <w:rsid w:val="002262EB"/>
    <w:rsid w:val="002264C7"/>
    <w:rsid w:val="00230BCE"/>
    <w:rsid w:val="002326D7"/>
    <w:rsid w:val="002328A7"/>
    <w:rsid w:val="00234892"/>
    <w:rsid w:val="00234B7C"/>
    <w:rsid w:val="00235482"/>
    <w:rsid w:val="00235A30"/>
    <w:rsid w:val="00236422"/>
    <w:rsid w:val="002367BB"/>
    <w:rsid w:val="002405D7"/>
    <w:rsid w:val="00242DF8"/>
    <w:rsid w:val="002452F9"/>
    <w:rsid w:val="00245D6D"/>
    <w:rsid w:val="00246E58"/>
    <w:rsid w:val="0025080C"/>
    <w:rsid w:val="002536BD"/>
    <w:rsid w:val="00254242"/>
    <w:rsid w:val="00255437"/>
    <w:rsid w:val="0025600E"/>
    <w:rsid w:val="00256881"/>
    <w:rsid w:val="0026259A"/>
    <w:rsid w:val="00264ED1"/>
    <w:rsid w:val="00266CF1"/>
    <w:rsid w:val="0026740A"/>
    <w:rsid w:val="002676F0"/>
    <w:rsid w:val="002702C9"/>
    <w:rsid w:val="002707EC"/>
    <w:rsid w:val="00270A62"/>
    <w:rsid w:val="00270A7C"/>
    <w:rsid w:val="00271834"/>
    <w:rsid w:val="00273FCB"/>
    <w:rsid w:val="00275204"/>
    <w:rsid w:val="00275EAF"/>
    <w:rsid w:val="00276D2D"/>
    <w:rsid w:val="0028045F"/>
    <w:rsid w:val="00283EB4"/>
    <w:rsid w:val="00284433"/>
    <w:rsid w:val="002846FD"/>
    <w:rsid w:val="00284C5F"/>
    <w:rsid w:val="00286074"/>
    <w:rsid w:val="0028730C"/>
    <w:rsid w:val="00287351"/>
    <w:rsid w:val="002873B6"/>
    <w:rsid w:val="002878CD"/>
    <w:rsid w:val="0029012F"/>
    <w:rsid w:val="002901EA"/>
    <w:rsid w:val="002906CA"/>
    <w:rsid w:val="002913A3"/>
    <w:rsid w:val="002920AD"/>
    <w:rsid w:val="002920DC"/>
    <w:rsid w:val="00292365"/>
    <w:rsid w:val="00292CB6"/>
    <w:rsid w:val="0029404F"/>
    <w:rsid w:val="002946F3"/>
    <w:rsid w:val="002955A0"/>
    <w:rsid w:val="002958F9"/>
    <w:rsid w:val="00295CDD"/>
    <w:rsid w:val="002A0D02"/>
    <w:rsid w:val="002A0FAF"/>
    <w:rsid w:val="002A1854"/>
    <w:rsid w:val="002A1A48"/>
    <w:rsid w:val="002A30DB"/>
    <w:rsid w:val="002A326B"/>
    <w:rsid w:val="002A3639"/>
    <w:rsid w:val="002A5511"/>
    <w:rsid w:val="002A5987"/>
    <w:rsid w:val="002A5B3E"/>
    <w:rsid w:val="002A6836"/>
    <w:rsid w:val="002B0853"/>
    <w:rsid w:val="002B1719"/>
    <w:rsid w:val="002B1C4C"/>
    <w:rsid w:val="002B287E"/>
    <w:rsid w:val="002B5672"/>
    <w:rsid w:val="002B58BC"/>
    <w:rsid w:val="002B6F74"/>
    <w:rsid w:val="002C020B"/>
    <w:rsid w:val="002C0E45"/>
    <w:rsid w:val="002C0FF5"/>
    <w:rsid w:val="002C1931"/>
    <w:rsid w:val="002C3971"/>
    <w:rsid w:val="002C4C77"/>
    <w:rsid w:val="002C527A"/>
    <w:rsid w:val="002C5F8C"/>
    <w:rsid w:val="002C6F2A"/>
    <w:rsid w:val="002C7A47"/>
    <w:rsid w:val="002D02DF"/>
    <w:rsid w:val="002D0959"/>
    <w:rsid w:val="002D0D3A"/>
    <w:rsid w:val="002D10B2"/>
    <w:rsid w:val="002D21A3"/>
    <w:rsid w:val="002D2B67"/>
    <w:rsid w:val="002D3575"/>
    <w:rsid w:val="002D4045"/>
    <w:rsid w:val="002D5020"/>
    <w:rsid w:val="002D5D64"/>
    <w:rsid w:val="002D6315"/>
    <w:rsid w:val="002D6D0F"/>
    <w:rsid w:val="002D7986"/>
    <w:rsid w:val="002E04E0"/>
    <w:rsid w:val="002E0A70"/>
    <w:rsid w:val="002E0BEE"/>
    <w:rsid w:val="002E0C5C"/>
    <w:rsid w:val="002E19EB"/>
    <w:rsid w:val="002E1A81"/>
    <w:rsid w:val="002E270E"/>
    <w:rsid w:val="002E27D6"/>
    <w:rsid w:val="002E418B"/>
    <w:rsid w:val="002E47AC"/>
    <w:rsid w:val="002E4BCD"/>
    <w:rsid w:val="002E57DF"/>
    <w:rsid w:val="002E70B7"/>
    <w:rsid w:val="002E7446"/>
    <w:rsid w:val="002E7964"/>
    <w:rsid w:val="002E79CC"/>
    <w:rsid w:val="002F01D3"/>
    <w:rsid w:val="002F0729"/>
    <w:rsid w:val="002F0ABB"/>
    <w:rsid w:val="002F1973"/>
    <w:rsid w:val="002F2A56"/>
    <w:rsid w:val="002F2BC8"/>
    <w:rsid w:val="002F38FE"/>
    <w:rsid w:val="002F3CF1"/>
    <w:rsid w:val="002F4798"/>
    <w:rsid w:val="002F4E78"/>
    <w:rsid w:val="002F5461"/>
    <w:rsid w:val="002F7F0B"/>
    <w:rsid w:val="00301391"/>
    <w:rsid w:val="00301A04"/>
    <w:rsid w:val="00301DD9"/>
    <w:rsid w:val="003030C2"/>
    <w:rsid w:val="00303C06"/>
    <w:rsid w:val="00304B60"/>
    <w:rsid w:val="00304D07"/>
    <w:rsid w:val="0030665D"/>
    <w:rsid w:val="00307FDF"/>
    <w:rsid w:val="00310296"/>
    <w:rsid w:val="0031183F"/>
    <w:rsid w:val="003128A3"/>
    <w:rsid w:val="003129CA"/>
    <w:rsid w:val="00313815"/>
    <w:rsid w:val="00314550"/>
    <w:rsid w:val="00315823"/>
    <w:rsid w:val="003160F8"/>
    <w:rsid w:val="003169CB"/>
    <w:rsid w:val="00316B50"/>
    <w:rsid w:val="00317712"/>
    <w:rsid w:val="00317CA4"/>
    <w:rsid w:val="00317CAF"/>
    <w:rsid w:val="00323AED"/>
    <w:rsid w:val="00324982"/>
    <w:rsid w:val="003259F4"/>
    <w:rsid w:val="00325C39"/>
    <w:rsid w:val="0032651E"/>
    <w:rsid w:val="0032759A"/>
    <w:rsid w:val="00327EB5"/>
    <w:rsid w:val="003306D4"/>
    <w:rsid w:val="00330972"/>
    <w:rsid w:val="00331B2B"/>
    <w:rsid w:val="00331F38"/>
    <w:rsid w:val="003321B6"/>
    <w:rsid w:val="0033248D"/>
    <w:rsid w:val="003325E2"/>
    <w:rsid w:val="0033307E"/>
    <w:rsid w:val="00333782"/>
    <w:rsid w:val="00333872"/>
    <w:rsid w:val="00335064"/>
    <w:rsid w:val="00335309"/>
    <w:rsid w:val="0033767C"/>
    <w:rsid w:val="0034057B"/>
    <w:rsid w:val="003431B0"/>
    <w:rsid w:val="0034398B"/>
    <w:rsid w:val="00343A9D"/>
    <w:rsid w:val="00343BC6"/>
    <w:rsid w:val="00345CAF"/>
    <w:rsid w:val="00346E2A"/>
    <w:rsid w:val="00347C2F"/>
    <w:rsid w:val="00347E7E"/>
    <w:rsid w:val="0035040D"/>
    <w:rsid w:val="003518BD"/>
    <w:rsid w:val="00351FA0"/>
    <w:rsid w:val="003556CC"/>
    <w:rsid w:val="00355A56"/>
    <w:rsid w:val="003569E1"/>
    <w:rsid w:val="00356DBA"/>
    <w:rsid w:val="00362993"/>
    <w:rsid w:val="00363468"/>
    <w:rsid w:val="0036422A"/>
    <w:rsid w:val="003649F5"/>
    <w:rsid w:val="003652B2"/>
    <w:rsid w:val="00366D91"/>
    <w:rsid w:val="00366E36"/>
    <w:rsid w:val="003679CF"/>
    <w:rsid w:val="003723B0"/>
    <w:rsid w:val="003734CA"/>
    <w:rsid w:val="00373C35"/>
    <w:rsid w:val="003741D2"/>
    <w:rsid w:val="0037423F"/>
    <w:rsid w:val="00377103"/>
    <w:rsid w:val="00381C71"/>
    <w:rsid w:val="00381FE7"/>
    <w:rsid w:val="003827AB"/>
    <w:rsid w:val="0038353B"/>
    <w:rsid w:val="00385E60"/>
    <w:rsid w:val="0038609C"/>
    <w:rsid w:val="0038663F"/>
    <w:rsid w:val="00390047"/>
    <w:rsid w:val="00390946"/>
    <w:rsid w:val="00392059"/>
    <w:rsid w:val="00393460"/>
    <w:rsid w:val="00393844"/>
    <w:rsid w:val="00393C92"/>
    <w:rsid w:val="00394936"/>
    <w:rsid w:val="003949F0"/>
    <w:rsid w:val="003952D2"/>
    <w:rsid w:val="003A1E64"/>
    <w:rsid w:val="003A2B85"/>
    <w:rsid w:val="003A4C8A"/>
    <w:rsid w:val="003A6167"/>
    <w:rsid w:val="003A62CF"/>
    <w:rsid w:val="003A65E4"/>
    <w:rsid w:val="003A79C0"/>
    <w:rsid w:val="003A7BF5"/>
    <w:rsid w:val="003B25A3"/>
    <w:rsid w:val="003B3CA1"/>
    <w:rsid w:val="003C0E10"/>
    <w:rsid w:val="003C2868"/>
    <w:rsid w:val="003C331D"/>
    <w:rsid w:val="003C3CF3"/>
    <w:rsid w:val="003C46EA"/>
    <w:rsid w:val="003C641F"/>
    <w:rsid w:val="003C7878"/>
    <w:rsid w:val="003D11E7"/>
    <w:rsid w:val="003D262E"/>
    <w:rsid w:val="003D341C"/>
    <w:rsid w:val="003D58E4"/>
    <w:rsid w:val="003D5FA1"/>
    <w:rsid w:val="003D6A35"/>
    <w:rsid w:val="003D6B5A"/>
    <w:rsid w:val="003E069C"/>
    <w:rsid w:val="003E1F85"/>
    <w:rsid w:val="003E20BB"/>
    <w:rsid w:val="003E2ED4"/>
    <w:rsid w:val="003E430C"/>
    <w:rsid w:val="003E4A7C"/>
    <w:rsid w:val="003E5E8A"/>
    <w:rsid w:val="003E67D7"/>
    <w:rsid w:val="003F0AF2"/>
    <w:rsid w:val="003F5833"/>
    <w:rsid w:val="003F6764"/>
    <w:rsid w:val="003F682C"/>
    <w:rsid w:val="003F6E9F"/>
    <w:rsid w:val="003F7F77"/>
    <w:rsid w:val="00400290"/>
    <w:rsid w:val="00400812"/>
    <w:rsid w:val="00400AD8"/>
    <w:rsid w:val="00402863"/>
    <w:rsid w:val="00403291"/>
    <w:rsid w:val="004037A6"/>
    <w:rsid w:val="00403E1D"/>
    <w:rsid w:val="004059A9"/>
    <w:rsid w:val="00405A45"/>
    <w:rsid w:val="004101D2"/>
    <w:rsid w:val="0041098A"/>
    <w:rsid w:val="00410C12"/>
    <w:rsid w:val="00411970"/>
    <w:rsid w:val="00411A82"/>
    <w:rsid w:val="0041200E"/>
    <w:rsid w:val="0041292E"/>
    <w:rsid w:val="00413B83"/>
    <w:rsid w:val="00414345"/>
    <w:rsid w:val="00415212"/>
    <w:rsid w:val="004165ED"/>
    <w:rsid w:val="00417493"/>
    <w:rsid w:val="0041779D"/>
    <w:rsid w:val="00420029"/>
    <w:rsid w:val="00424997"/>
    <w:rsid w:val="004250CF"/>
    <w:rsid w:val="00425492"/>
    <w:rsid w:val="0042614A"/>
    <w:rsid w:val="00426DAC"/>
    <w:rsid w:val="00427BE5"/>
    <w:rsid w:val="00427E96"/>
    <w:rsid w:val="004311A6"/>
    <w:rsid w:val="00431212"/>
    <w:rsid w:val="0043349B"/>
    <w:rsid w:val="0043473C"/>
    <w:rsid w:val="004347E2"/>
    <w:rsid w:val="00436074"/>
    <w:rsid w:val="004364CD"/>
    <w:rsid w:val="00436D04"/>
    <w:rsid w:val="00436E2C"/>
    <w:rsid w:val="00441CF4"/>
    <w:rsid w:val="00442D97"/>
    <w:rsid w:val="00444553"/>
    <w:rsid w:val="00444B5D"/>
    <w:rsid w:val="00445033"/>
    <w:rsid w:val="004450FE"/>
    <w:rsid w:val="00445D80"/>
    <w:rsid w:val="00446375"/>
    <w:rsid w:val="004464C3"/>
    <w:rsid w:val="0044679B"/>
    <w:rsid w:val="00446879"/>
    <w:rsid w:val="00447009"/>
    <w:rsid w:val="0044780F"/>
    <w:rsid w:val="004509B5"/>
    <w:rsid w:val="004510DB"/>
    <w:rsid w:val="004511B1"/>
    <w:rsid w:val="00451E04"/>
    <w:rsid w:val="00452013"/>
    <w:rsid w:val="00452928"/>
    <w:rsid w:val="00452B89"/>
    <w:rsid w:val="00453606"/>
    <w:rsid w:val="0045651C"/>
    <w:rsid w:val="00457368"/>
    <w:rsid w:val="00460F23"/>
    <w:rsid w:val="0046160F"/>
    <w:rsid w:val="00462150"/>
    <w:rsid w:val="00462D98"/>
    <w:rsid w:val="00463A5E"/>
    <w:rsid w:val="00464ED1"/>
    <w:rsid w:val="0046513A"/>
    <w:rsid w:val="00473FB6"/>
    <w:rsid w:val="0047415F"/>
    <w:rsid w:val="00474409"/>
    <w:rsid w:val="004755F1"/>
    <w:rsid w:val="004770ED"/>
    <w:rsid w:val="00477E3C"/>
    <w:rsid w:val="0048297B"/>
    <w:rsid w:val="00482D11"/>
    <w:rsid w:val="00483503"/>
    <w:rsid w:val="0048446A"/>
    <w:rsid w:val="0048500C"/>
    <w:rsid w:val="0048583D"/>
    <w:rsid w:val="00485F0A"/>
    <w:rsid w:val="004865C3"/>
    <w:rsid w:val="00490689"/>
    <w:rsid w:val="00490C72"/>
    <w:rsid w:val="004912B3"/>
    <w:rsid w:val="00492497"/>
    <w:rsid w:val="00492A01"/>
    <w:rsid w:val="00493039"/>
    <w:rsid w:val="004945F6"/>
    <w:rsid w:val="00495356"/>
    <w:rsid w:val="00495FAA"/>
    <w:rsid w:val="0049694A"/>
    <w:rsid w:val="00497258"/>
    <w:rsid w:val="004A0098"/>
    <w:rsid w:val="004A02F1"/>
    <w:rsid w:val="004A1143"/>
    <w:rsid w:val="004A2FE0"/>
    <w:rsid w:val="004A3455"/>
    <w:rsid w:val="004A3AC0"/>
    <w:rsid w:val="004A3B33"/>
    <w:rsid w:val="004A3B88"/>
    <w:rsid w:val="004A4E0C"/>
    <w:rsid w:val="004A5B9E"/>
    <w:rsid w:val="004A5E16"/>
    <w:rsid w:val="004A7545"/>
    <w:rsid w:val="004A773E"/>
    <w:rsid w:val="004B11AE"/>
    <w:rsid w:val="004B2CA5"/>
    <w:rsid w:val="004B3F2B"/>
    <w:rsid w:val="004B4718"/>
    <w:rsid w:val="004B5212"/>
    <w:rsid w:val="004B58BB"/>
    <w:rsid w:val="004B5F97"/>
    <w:rsid w:val="004B694C"/>
    <w:rsid w:val="004B7BCB"/>
    <w:rsid w:val="004C1E8E"/>
    <w:rsid w:val="004C3DC3"/>
    <w:rsid w:val="004C4703"/>
    <w:rsid w:val="004C4C33"/>
    <w:rsid w:val="004C4CFB"/>
    <w:rsid w:val="004D1391"/>
    <w:rsid w:val="004D309D"/>
    <w:rsid w:val="004D408B"/>
    <w:rsid w:val="004D5A19"/>
    <w:rsid w:val="004D619B"/>
    <w:rsid w:val="004D6C70"/>
    <w:rsid w:val="004D72F9"/>
    <w:rsid w:val="004E05D8"/>
    <w:rsid w:val="004E0708"/>
    <w:rsid w:val="004E0B86"/>
    <w:rsid w:val="004E2A6C"/>
    <w:rsid w:val="004E4E4F"/>
    <w:rsid w:val="004E5FD1"/>
    <w:rsid w:val="004E631A"/>
    <w:rsid w:val="004E72D9"/>
    <w:rsid w:val="004F0193"/>
    <w:rsid w:val="004F273D"/>
    <w:rsid w:val="004F3B2A"/>
    <w:rsid w:val="004F3BC3"/>
    <w:rsid w:val="004F3C21"/>
    <w:rsid w:val="004F3D55"/>
    <w:rsid w:val="004F453B"/>
    <w:rsid w:val="004F49C5"/>
    <w:rsid w:val="004F4D78"/>
    <w:rsid w:val="004F5BA1"/>
    <w:rsid w:val="004F6E15"/>
    <w:rsid w:val="004F7820"/>
    <w:rsid w:val="00501031"/>
    <w:rsid w:val="0050149D"/>
    <w:rsid w:val="00501F5D"/>
    <w:rsid w:val="005022BD"/>
    <w:rsid w:val="005027EE"/>
    <w:rsid w:val="0050335D"/>
    <w:rsid w:val="00503458"/>
    <w:rsid w:val="005035DB"/>
    <w:rsid w:val="00503991"/>
    <w:rsid w:val="00503D32"/>
    <w:rsid w:val="00503ED4"/>
    <w:rsid w:val="00506907"/>
    <w:rsid w:val="00506CAB"/>
    <w:rsid w:val="00507B3A"/>
    <w:rsid w:val="00511875"/>
    <w:rsid w:val="005124DC"/>
    <w:rsid w:val="00513887"/>
    <w:rsid w:val="00513AA8"/>
    <w:rsid w:val="0051414E"/>
    <w:rsid w:val="005157C3"/>
    <w:rsid w:val="00515D54"/>
    <w:rsid w:val="00516250"/>
    <w:rsid w:val="005162AE"/>
    <w:rsid w:val="005167D2"/>
    <w:rsid w:val="00521991"/>
    <w:rsid w:val="00522C95"/>
    <w:rsid w:val="00523270"/>
    <w:rsid w:val="00523272"/>
    <w:rsid w:val="005238AB"/>
    <w:rsid w:val="00523D8F"/>
    <w:rsid w:val="00524E88"/>
    <w:rsid w:val="005251B5"/>
    <w:rsid w:val="00525846"/>
    <w:rsid w:val="0052587E"/>
    <w:rsid w:val="00527472"/>
    <w:rsid w:val="0052747E"/>
    <w:rsid w:val="005325DE"/>
    <w:rsid w:val="00532A55"/>
    <w:rsid w:val="00534C1D"/>
    <w:rsid w:val="0053549D"/>
    <w:rsid w:val="005359A3"/>
    <w:rsid w:val="005359BC"/>
    <w:rsid w:val="00535A45"/>
    <w:rsid w:val="0053737C"/>
    <w:rsid w:val="00540B63"/>
    <w:rsid w:val="0054149B"/>
    <w:rsid w:val="00541AD8"/>
    <w:rsid w:val="0054228F"/>
    <w:rsid w:val="00542429"/>
    <w:rsid w:val="00544304"/>
    <w:rsid w:val="00545A01"/>
    <w:rsid w:val="00546C06"/>
    <w:rsid w:val="0054797A"/>
    <w:rsid w:val="005503B2"/>
    <w:rsid w:val="00551AA8"/>
    <w:rsid w:val="005539AC"/>
    <w:rsid w:val="00560B63"/>
    <w:rsid w:val="005613C5"/>
    <w:rsid w:val="00561561"/>
    <w:rsid w:val="00563F3A"/>
    <w:rsid w:val="0056428E"/>
    <w:rsid w:val="00564C5D"/>
    <w:rsid w:val="00565E1C"/>
    <w:rsid w:val="00566CDA"/>
    <w:rsid w:val="005679AE"/>
    <w:rsid w:val="00567BDD"/>
    <w:rsid w:val="00570812"/>
    <w:rsid w:val="005712B5"/>
    <w:rsid w:val="005721C1"/>
    <w:rsid w:val="00573ECB"/>
    <w:rsid w:val="00575826"/>
    <w:rsid w:val="00575D2E"/>
    <w:rsid w:val="00576177"/>
    <w:rsid w:val="005767BB"/>
    <w:rsid w:val="00576D36"/>
    <w:rsid w:val="005800BC"/>
    <w:rsid w:val="00581526"/>
    <w:rsid w:val="005827CB"/>
    <w:rsid w:val="00582A0B"/>
    <w:rsid w:val="00582D23"/>
    <w:rsid w:val="00582F40"/>
    <w:rsid w:val="00583AD1"/>
    <w:rsid w:val="00584831"/>
    <w:rsid w:val="00584AAE"/>
    <w:rsid w:val="00584D59"/>
    <w:rsid w:val="00584E42"/>
    <w:rsid w:val="005853FD"/>
    <w:rsid w:val="00585886"/>
    <w:rsid w:val="00586012"/>
    <w:rsid w:val="00590971"/>
    <w:rsid w:val="00590BCD"/>
    <w:rsid w:val="00590EAE"/>
    <w:rsid w:val="00593117"/>
    <w:rsid w:val="00595D63"/>
    <w:rsid w:val="0059702B"/>
    <w:rsid w:val="005A0634"/>
    <w:rsid w:val="005A2C87"/>
    <w:rsid w:val="005A3288"/>
    <w:rsid w:val="005A4229"/>
    <w:rsid w:val="005A48E9"/>
    <w:rsid w:val="005A5C71"/>
    <w:rsid w:val="005B1873"/>
    <w:rsid w:val="005B2613"/>
    <w:rsid w:val="005B3A9D"/>
    <w:rsid w:val="005B5EF8"/>
    <w:rsid w:val="005B6B9B"/>
    <w:rsid w:val="005C14AE"/>
    <w:rsid w:val="005C36EA"/>
    <w:rsid w:val="005C3B03"/>
    <w:rsid w:val="005C43EF"/>
    <w:rsid w:val="005C518F"/>
    <w:rsid w:val="005C58C5"/>
    <w:rsid w:val="005C6266"/>
    <w:rsid w:val="005C6854"/>
    <w:rsid w:val="005C709E"/>
    <w:rsid w:val="005C722D"/>
    <w:rsid w:val="005C7CC7"/>
    <w:rsid w:val="005D1491"/>
    <w:rsid w:val="005D1C89"/>
    <w:rsid w:val="005D5504"/>
    <w:rsid w:val="005D75CB"/>
    <w:rsid w:val="005E0002"/>
    <w:rsid w:val="005E060D"/>
    <w:rsid w:val="005E081D"/>
    <w:rsid w:val="005E0E9B"/>
    <w:rsid w:val="005E0ED9"/>
    <w:rsid w:val="005E1033"/>
    <w:rsid w:val="005E12C7"/>
    <w:rsid w:val="005E14C9"/>
    <w:rsid w:val="005E1595"/>
    <w:rsid w:val="005E15DD"/>
    <w:rsid w:val="005E2968"/>
    <w:rsid w:val="005E3012"/>
    <w:rsid w:val="005E4EE2"/>
    <w:rsid w:val="005E53FC"/>
    <w:rsid w:val="005E5C9C"/>
    <w:rsid w:val="005E5FA6"/>
    <w:rsid w:val="005E7BCE"/>
    <w:rsid w:val="005F05E1"/>
    <w:rsid w:val="005F3C9D"/>
    <w:rsid w:val="005F4BD9"/>
    <w:rsid w:val="005F4DDD"/>
    <w:rsid w:val="005F5F54"/>
    <w:rsid w:val="005F681A"/>
    <w:rsid w:val="00600BE4"/>
    <w:rsid w:val="00601F87"/>
    <w:rsid w:val="00602DA8"/>
    <w:rsid w:val="006039E4"/>
    <w:rsid w:val="00604379"/>
    <w:rsid w:val="00604AB0"/>
    <w:rsid w:val="0060503A"/>
    <w:rsid w:val="006050E3"/>
    <w:rsid w:val="00605684"/>
    <w:rsid w:val="00606E01"/>
    <w:rsid w:val="00607F10"/>
    <w:rsid w:val="006102E7"/>
    <w:rsid w:val="006109F7"/>
    <w:rsid w:val="00611A09"/>
    <w:rsid w:val="00611A22"/>
    <w:rsid w:val="00611D5C"/>
    <w:rsid w:val="00612009"/>
    <w:rsid w:val="00612832"/>
    <w:rsid w:val="00612F46"/>
    <w:rsid w:val="00613841"/>
    <w:rsid w:val="00614DE1"/>
    <w:rsid w:val="00617CFA"/>
    <w:rsid w:val="00620F28"/>
    <w:rsid w:val="006225BD"/>
    <w:rsid w:val="00622679"/>
    <w:rsid w:val="00622790"/>
    <w:rsid w:val="00622F0C"/>
    <w:rsid w:val="00623549"/>
    <w:rsid w:val="006239E7"/>
    <w:rsid w:val="00623E06"/>
    <w:rsid w:val="00624F11"/>
    <w:rsid w:val="00625FB8"/>
    <w:rsid w:val="00626BA0"/>
    <w:rsid w:val="00627507"/>
    <w:rsid w:val="0062795E"/>
    <w:rsid w:val="00627D51"/>
    <w:rsid w:val="006300A3"/>
    <w:rsid w:val="0063030C"/>
    <w:rsid w:val="006313E6"/>
    <w:rsid w:val="0063168F"/>
    <w:rsid w:val="006317B0"/>
    <w:rsid w:val="00632790"/>
    <w:rsid w:val="00633C28"/>
    <w:rsid w:val="00635789"/>
    <w:rsid w:val="00636F61"/>
    <w:rsid w:val="00644913"/>
    <w:rsid w:val="00644A27"/>
    <w:rsid w:val="00647812"/>
    <w:rsid w:val="0065349D"/>
    <w:rsid w:val="00653685"/>
    <w:rsid w:val="00653E0C"/>
    <w:rsid w:val="00654AEA"/>
    <w:rsid w:val="00654C1A"/>
    <w:rsid w:val="00654DB6"/>
    <w:rsid w:val="00655A00"/>
    <w:rsid w:val="006566A9"/>
    <w:rsid w:val="00656F22"/>
    <w:rsid w:val="00660010"/>
    <w:rsid w:val="00660CA0"/>
    <w:rsid w:val="00660F68"/>
    <w:rsid w:val="006622F5"/>
    <w:rsid w:val="006651AE"/>
    <w:rsid w:val="00665553"/>
    <w:rsid w:val="0067005D"/>
    <w:rsid w:val="00670602"/>
    <w:rsid w:val="0067387F"/>
    <w:rsid w:val="00674C3D"/>
    <w:rsid w:val="00680AEF"/>
    <w:rsid w:val="00682722"/>
    <w:rsid w:val="00682754"/>
    <w:rsid w:val="00682EBE"/>
    <w:rsid w:val="006834CF"/>
    <w:rsid w:val="00683E20"/>
    <w:rsid w:val="0068758D"/>
    <w:rsid w:val="00687C18"/>
    <w:rsid w:val="006910E2"/>
    <w:rsid w:val="006911C9"/>
    <w:rsid w:val="00691D3E"/>
    <w:rsid w:val="00692855"/>
    <w:rsid w:val="006952F9"/>
    <w:rsid w:val="0069628C"/>
    <w:rsid w:val="0069645F"/>
    <w:rsid w:val="00696D6A"/>
    <w:rsid w:val="00696F3B"/>
    <w:rsid w:val="0069714B"/>
    <w:rsid w:val="006973D6"/>
    <w:rsid w:val="006A11E7"/>
    <w:rsid w:val="006A2359"/>
    <w:rsid w:val="006A2862"/>
    <w:rsid w:val="006A2AA0"/>
    <w:rsid w:val="006A390B"/>
    <w:rsid w:val="006A648C"/>
    <w:rsid w:val="006A756A"/>
    <w:rsid w:val="006B0C6C"/>
    <w:rsid w:val="006B1209"/>
    <w:rsid w:val="006B2311"/>
    <w:rsid w:val="006B2947"/>
    <w:rsid w:val="006B37E5"/>
    <w:rsid w:val="006B40D7"/>
    <w:rsid w:val="006B4F06"/>
    <w:rsid w:val="006B53D7"/>
    <w:rsid w:val="006B64A1"/>
    <w:rsid w:val="006B6EED"/>
    <w:rsid w:val="006B70B6"/>
    <w:rsid w:val="006B7C5B"/>
    <w:rsid w:val="006C1297"/>
    <w:rsid w:val="006C1459"/>
    <w:rsid w:val="006C2E4C"/>
    <w:rsid w:val="006C3794"/>
    <w:rsid w:val="006C4B6B"/>
    <w:rsid w:val="006C4D81"/>
    <w:rsid w:val="006C6840"/>
    <w:rsid w:val="006C6FF8"/>
    <w:rsid w:val="006C71DC"/>
    <w:rsid w:val="006C7969"/>
    <w:rsid w:val="006D107D"/>
    <w:rsid w:val="006D1EB6"/>
    <w:rsid w:val="006D37C6"/>
    <w:rsid w:val="006D503A"/>
    <w:rsid w:val="006D5517"/>
    <w:rsid w:val="006D7D73"/>
    <w:rsid w:val="006E16B0"/>
    <w:rsid w:val="006E2AA3"/>
    <w:rsid w:val="006E3E0B"/>
    <w:rsid w:val="006E4480"/>
    <w:rsid w:val="006E5110"/>
    <w:rsid w:val="006E51E4"/>
    <w:rsid w:val="006E566B"/>
    <w:rsid w:val="006E6408"/>
    <w:rsid w:val="006F106F"/>
    <w:rsid w:val="006F20C4"/>
    <w:rsid w:val="006F3B41"/>
    <w:rsid w:val="006F3D5D"/>
    <w:rsid w:val="006F4188"/>
    <w:rsid w:val="006F51CC"/>
    <w:rsid w:val="006F61F9"/>
    <w:rsid w:val="006F7FBD"/>
    <w:rsid w:val="007006FA"/>
    <w:rsid w:val="0070222E"/>
    <w:rsid w:val="00702FD8"/>
    <w:rsid w:val="00703A64"/>
    <w:rsid w:val="00704AB3"/>
    <w:rsid w:val="00706933"/>
    <w:rsid w:val="00706D56"/>
    <w:rsid w:val="00707E11"/>
    <w:rsid w:val="00710399"/>
    <w:rsid w:val="00710E55"/>
    <w:rsid w:val="00710FBA"/>
    <w:rsid w:val="007142FC"/>
    <w:rsid w:val="00714AD2"/>
    <w:rsid w:val="00714F06"/>
    <w:rsid w:val="00715514"/>
    <w:rsid w:val="00715E60"/>
    <w:rsid w:val="00717BB1"/>
    <w:rsid w:val="00720C1C"/>
    <w:rsid w:val="007219A8"/>
    <w:rsid w:val="00722417"/>
    <w:rsid w:val="0072243C"/>
    <w:rsid w:val="00722637"/>
    <w:rsid w:val="00722B8F"/>
    <w:rsid w:val="00722CE8"/>
    <w:rsid w:val="007247AE"/>
    <w:rsid w:val="007255F8"/>
    <w:rsid w:val="00730080"/>
    <w:rsid w:val="0073197B"/>
    <w:rsid w:val="007326FD"/>
    <w:rsid w:val="00732BED"/>
    <w:rsid w:val="007333CA"/>
    <w:rsid w:val="00734728"/>
    <w:rsid w:val="00735D87"/>
    <w:rsid w:val="00736E8D"/>
    <w:rsid w:val="00737641"/>
    <w:rsid w:val="007379B4"/>
    <w:rsid w:val="00740D38"/>
    <w:rsid w:val="0074159B"/>
    <w:rsid w:val="0074161D"/>
    <w:rsid w:val="00742A43"/>
    <w:rsid w:val="00743176"/>
    <w:rsid w:val="0074467F"/>
    <w:rsid w:val="00745528"/>
    <w:rsid w:val="00745B65"/>
    <w:rsid w:val="00752961"/>
    <w:rsid w:val="00753A1B"/>
    <w:rsid w:val="00753A5C"/>
    <w:rsid w:val="00753B7D"/>
    <w:rsid w:val="007544FD"/>
    <w:rsid w:val="007551F7"/>
    <w:rsid w:val="00757516"/>
    <w:rsid w:val="0076017D"/>
    <w:rsid w:val="00760A1E"/>
    <w:rsid w:val="00762AE1"/>
    <w:rsid w:val="00762AF0"/>
    <w:rsid w:val="00762C68"/>
    <w:rsid w:val="00763E79"/>
    <w:rsid w:val="00765970"/>
    <w:rsid w:val="007661F5"/>
    <w:rsid w:val="00766430"/>
    <w:rsid w:val="00767265"/>
    <w:rsid w:val="00772F50"/>
    <w:rsid w:val="00773E39"/>
    <w:rsid w:val="007744CF"/>
    <w:rsid w:val="0077591C"/>
    <w:rsid w:val="0077594F"/>
    <w:rsid w:val="00783E70"/>
    <w:rsid w:val="007843C3"/>
    <w:rsid w:val="00786111"/>
    <w:rsid w:val="007866BE"/>
    <w:rsid w:val="007870AB"/>
    <w:rsid w:val="00787444"/>
    <w:rsid w:val="00787C82"/>
    <w:rsid w:val="007906C6"/>
    <w:rsid w:val="007913E8"/>
    <w:rsid w:val="007928AA"/>
    <w:rsid w:val="0079397E"/>
    <w:rsid w:val="00793CE4"/>
    <w:rsid w:val="00794781"/>
    <w:rsid w:val="00795DB2"/>
    <w:rsid w:val="0079654E"/>
    <w:rsid w:val="007A14FE"/>
    <w:rsid w:val="007A2A87"/>
    <w:rsid w:val="007A2EB4"/>
    <w:rsid w:val="007A34FD"/>
    <w:rsid w:val="007A36A6"/>
    <w:rsid w:val="007A3DA0"/>
    <w:rsid w:val="007A5425"/>
    <w:rsid w:val="007A5443"/>
    <w:rsid w:val="007A5727"/>
    <w:rsid w:val="007A7139"/>
    <w:rsid w:val="007A75DC"/>
    <w:rsid w:val="007A7C79"/>
    <w:rsid w:val="007B156C"/>
    <w:rsid w:val="007B16A5"/>
    <w:rsid w:val="007B1A2B"/>
    <w:rsid w:val="007B1DEE"/>
    <w:rsid w:val="007B3BCE"/>
    <w:rsid w:val="007B3FF8"/>
    <w:rsid w:val="007B40F8"/>
    <w:rsid w:val="007B4ED3"/>
    <w:rsid w:val="007B513C"/>
    <w:rsid w:val="007B540C"/>
    <w:rsid w:val="007B6569"/>
    <w:rsid w:val="007B6CE8"/>
    <w:rsid w:val="007C0844"/>
    <w:rsid w:val="007C0FB6"/>
    <w:rsid w:val="007C1C68"/>
    <w:rsid w:val="007C283E"/>
    <w:rsid w:val="007C3C55"/>
    <w:rsid w:val="007C4DF6"/>
    <w:rsid w:val="007C57E9"/>
    <w:rsid w:val="007C5FBF"/>
    <w:rsid w:val="007D1154"/>
    <w:rsid w:val="007D1463"/>
    <w:rsid w:val="007D16FF"/>
    <w:rsid w:val="007D1A1B"/>
    <w:rsid w:val="007D1D8C"/>
    <w:rsid w:val="007D3D30"/>
    <w:rsid w:val="007D3F76"/>
    <w:rsid w:val="007D49FE"/>
    <w:rsid w:val="007D4AB0"/>
    <w:rsid w:val="007D4BB1"/>
    <w:rsid w:val="007D5B61"/>
    <w:rsid w:val="007D66B2"/>
    <w:rsid w:val="007D7A46"/>
    <w:rsid w:val="007E0E0D"/>
    <w:rsid w:val="007E1F44"/>
    <w:rsid w:val="007E210C"/>
    <w:rsid w:val="007E30A8"/>
    <w:rsid w:val="007E4031"/>
    <w:rsid w:val="007E4C90"/>
    <w:rsid w:val="007E5AD5"/>
    <w:rsid w:val="007E5F79"/>
    <w:rsid w:val="007E70C8"/>
    <w:rsid w:val="007F09D5"/>
    <w:rsid w:val="007F1A84"/>
    <w:rsid w:val="007F1C58"/>
    <w:rsid w:val="007F2FC2"/>
    <w:rsid w:val="007F3B12"/>
    <w:rsid w:val="007F441F"/>
    <w:rsid w:val="007F5389"/>
    <w:rsid w:val="007F6EB2"/>
    <w:rsid w:val="007F73EB"/>
    <w:rsid w:val="007F7878"/>
    <w:rsid w:val="007F7A3E"/>
    <w:rsid w:val="007F7E92"/>
    <w:rsid w:val="00801E0D"/>
    <w:rsid w:val="0080340A"/>
    <w:rsid w:val="00803DBD"/>
    <w:rsid w:val="0080456C"/>
    <w:rsid w:val="0081008F"/>
    <w:rsid w:val="00810676"/>
    <w:rsid w:val="00811B30"/>
    <w:rsid w:val="008120D2"/>
    <w:rsid w:val="008123DA"/>
    <w:rsid w:val="008135CA"/>
    <w:rsid w:val="0081365B"/>
    <w:rsid w:val="00815919"/>
    <w:rsid w:val="00815FF5"/>
    <w:rsid w:val="00816357"/>
    <w:rsid w:val="008164FB"/>
    <w:rsid w:val="00817FCA"/>
    <w:rsid w:val="008203EC"/>
    <w:rsid w:val="00820D37"/>
    <w:rsid w:val="0082201C"/>
    <w:rsid w:val="00822377"/>
    <w:rsid w:val="00823815"/>
    <w:rsid w:val="00824026"/>
    <w:rsid w:val="00825BEF"/>
    <w:rsid w:val="00826DDA"/>
    <w:rsid w:val="0082734B"/>
    <w:rsid w:val="00827D86"/>
    <w:rsid w:val="00831298"/>
    <w:rsid w:val="0083322D"/>
    <w:rsid w:val="00834F94"/>
    <w:rsid w:val="00835D8C"/>
    <w:rsid w:val="00837D95"/>
    <w:rsid w:val="00840939"/>
    <w:rsid w:val="00840954"/>
    <w:rsid w:val="0084169C"/>
    <w:rsid w:val="00841B8D"/>
    <w:rsid w:val="00842757"/>
    <w:rsid w:val="00842C97"/>
    <w:rsid w:val="0084413F"/>
    <w:rsid w:val="00847F4A"/>
    <w:rsid w:val="0085017C"/>
    <w:rsid w:val="00850488"/>
    <w:rsid w:val="00851367"/>
    <w:rsid w:val="00852B77"/>
    <w:rsid w:val="008537C2"/>
    <w:rsid w:val="0085437E"/>
    <w:rsid w:val="0085641B"/>
    <w:rsid w:val="00856B8F"/>
    <w:rsid w:val="00857F8B"/>
    <w:rsid w:val="0086301B"/>
    <w:rsid w:val="0086373A"/>
    <w:rsid w:val="0086417A"/>
    <w:rsid w:val="0086432A"/>
    <w:rsid w:val="00864779"/>
    <w:rsid w:val="00866817"/>
    <w:rsid w:val="008678C9"/>
    <w:rsid w:val="0086797D"/>
    <w:rsid w:val="00870C17"/>
    <w:rsid w:val="00872D34"/>
    <w:rsid w:val="008735B0"/>
    <w:rsid w:val="008749EB"/>
    <w:rsid w:val="00875264"/>
    <w:rsid w:val="00875D34"/>
    <w:rsid w:val="00876833"/>
    <w:rsid w:val="0087690F"/>
    <w:rsid w:val="008776C0"/>
    <w:rsid w:val="008821FA"/>
    <w:rsid w:val="00882C92"/>
    <w:rsid w:val="00886FE0"/>
    <w:rsid w:val="00887017"/>
    <w:rsid w:val="0089076C"/>
    <w:rsid w:val="008911F1"/>
    <w:rsid w:val="008913CC"/>
    <w:rsid w:val="00891EE5"/>
    <w:rsid w:val="00893440"/>
    <w:rsid w:val="0089405A"/>
    <w:rsid w:val="00894886"/>
    <w:rsid w:val="00894902"/>
    <w:rsid w:val="00894FDA"/>
    <w:rsid w:val="008953C3"/>
    <w:rsid w:val="008965B7"/>
    <w:rsid w:val="008A00F5"/>
    <w:rsid w:val="008A152C"/>
    <w:rsid w:val="008A2865"/>
    <w:rsid w:val="008A4AE4"/>
    <w:rsid w:val="008A50B4"/>
    <w:rsid w:val="008A79DC"/>
    <w:rsid w:val="008B280B"/>
    <w:rsid w:val="008B2CD9"/>
    <w:rsid w:val="008B3000"/>
    <w:rsid w:val="008B438F"/>
    <w:rsid w:val="008B4589"/>
    <w:rsid w:val="008B5627"/>
    <w:rsid w:val="008B5C69"/>
    <w:rsid w:val="008B7CE2"/>
    <w:rsid w:val="008C04AE"/>
    <w:rsid w:val="008C0960"/>
    <w:rsid w:val="008C0C04"/>
    <w:rsid w:val="008C0E69"/>
    <w:rsid w:val="008C22C7"/>
    <w:rsid w:val="008C291D"/>
    <w:rsid w:val="008C3F84"/>
    <w:rsid w:val="008C453D"/>
    <w:rsid w:val="008C68D9"/>
    <w:rsid w:val="008C6A93"/>
    <w:rsid w:val="008D0FE3"/>
    <w:rsid w:val="008D1727"/>
    <w:rsid w:val="008D1821"/>
    <w:rsid w:val="008D3AC7"/>
    <w:rsid w:val="008D45AF"/>
    <w:rsid w:val="008D568F"/>
    <w:rsid w:val="008D59A9"/>
    <w:rsid w:val="008D6349"/>
    <w:rsid w:val="008D71C9"/>
    <w:rsid w:val="008D72C4"/>
    <w:rsid w:val="008E02C4"/>
    <w:rsid w:val="008E12A3"/>
    <w:rsid w:val="008E1BFB"/>
    <w:rsid w:val="008E2E85"/>
    <w:rsid w:val="008E35BA"/>
    <w:rsid w:val="008E6B17"/>
    <w:rsid w:val="008F03BF"/>
    <w:rsid w:val="008F0450"/>
    <w:rsid w:val="008F07B6"/>
    <w:rsid w:val="008F09CA"/>
    <w:rsid w:val="008F0FDA"/>
    <w:rsid w:val="008F1358"/>
    <w:rsid w:val="008F40F9"/>
    <w:rsid w:val="008F774F"/>
    <w:rsid w:val="009008A7"/>
    <w:rsid w:val="00900A43"/>
    <w:rsid w:val="00900AC8"/>
    <w:rsid w:val="00900EE9"/>
    <w:rsid w:val="00901F86"/>
    <w:rsid w:val="00904993"/>
    <w:rsid w:val="00904BC8"/>
    <w:rsid w:val="00907026"/>
    <w:rsid w:val="00907F7E"/>
    <w:rsid w:val="009103CD"/>
    <w:rsid w:val="00910D45"/>
    <w:rsid w:val="00911896"/>
    <w:rsid w:val="00912042"/>
    <w:rsid w:val="009128B5"/>
    <w:rsid w:val="00912C6B"/>
    <w:rsid w:val="00914550"/>
    <w:rsid w:val="00914DAF"/>
    <w:rsid w:val="00915547"/>
    <w:rsid w:val="00915E8C"/>
    <w:rsid w:val="00916E0B"/>
    <w:rsid w:val="00916EBF"/>
    <w:rsid w:val="00917898"/>
    <w:rsid w:val="009200AE"/>
    <w:rsid w:val="0092121D"/>
    <w:rsid w:val="009215AF"/>
    <w:rsid w:val="00921654"/>
    <w:rsid w:val="009219AA"/>
    <w:rsid w:val="00923FAC"/>
    <w:rsid w:val="00924002"/>
    <w:rsid w:val="00924D74"/>
    <w:rsid w:val="009259ED"/>
    <w:rsid w:val="00925C92"/>
    <w:rsid w:val="00931003"/>
    <w:rsid w:val="00931B35"/>
    <w:rsid w:val="00932A5C"/>
    <w:rsid w:val="00933111"/>
    <w:rsid w:val="0093355A"/>
    <w:rsid w:val="00934058"/>
    <w:rsid w:val="009347A9"/>
    <w:rsid w:val="00935811"/>
    <w:rsid w:val="00937714"/>
    <w:rsid w:val="009411E4"/>
    <w:rsid w:val="0094161B"/>
    <w:rsid w:val="00941BE3"/>
    <w:rsid w:val="00942430"/>
    <w:rsid w:val="0094272C"/>
    <w:rsid w:val="00942891"/>
    <w:rsid w:val="00942EF4"/>
    <w:rsid w:val="009431C3"/>
    <w:rsid w:val="009444F0"/>
    <w:rsid w:val="009447AD"/>
    <w:rsid w:val="009477B3"/>
    <w:rsid w:val="00947D95"/>
    <w:rsid w:val="00951C0C"/>
    <w:rsid w:val="009537FA"/>
    <w:rsid w:val="009547B2"/>
    <w:rsid w:val="009551F2"/>
    <w:rsid w:val="0095702C"/>
    <w:rsid w:val="00957B58"/>
    <w:rsid w:val="00960FBF"/>
    <w:rsid w:val="00961131"/>
    <w:rsid w:val="00962525"/>
    <w:rsid w:val="00963434"/>
    <w:rsid w:val="00963E58"/>
    <w:rsid w:val="009650CF"/>
    <w:rsid w:val="00965315"/>
    <w:rsid w:val="009656FC"/>
    <w:rsid w:val="009664BB"/>
    <w:rsid w:val="009708FB"/>
    <w:rsid w:val="00970C1A"/>
    <w:rsid w:val="009719F9"/>
    <w:rsid w:val="00971B71"/>
    <w:rsid w:val="00972B5F"/>
    <w:rsid w:val="00974263"/>
    <w:rsid w:val="00974A8A"/>
    <w:rsid w:val="009750F9"/>
    <w:rsid w:val="0097527E"/>
    <w:rsid w:val="009754A0"/>
    <w:rsid w:val="00975769"/>
    <w:rsid w:val="0097684F"/>
    <w:rsid w:val="009802C4"/>
    <w:rsid w:val="00980D66"/>
    <w:rsid w:val="009825C3"/>
    <w:rsid w:val="00982DD0"/>
    <w:rsid w:val="00983384"/>
    <w:rsid w:val="0098380D"/>
    <w:rsid w:val="009879AE"/>
    <w:rsid w:val="00987BD2"/>
    <w:rsid w:val="00991845"/>
    <w:rsid w:val="00992854"/>
    <w:rsid w:val="0099415E"/>
    <w:rsid w:val="00994788"/>
    <w:rsid w:val="00994FF8"/>
    <w:rsid w:val="0099632E"/>
    <w:rsid w:val="009A0CE4"/>
    <w:rsid w:val="009A18AA"/>
    <w:rsid w:val="009A4402"/>
    <w:rsid w:val="009A440B"/>
    <w:rsid w:val="009A4EC8"/>
    <w:rsid w:val="009B1CDE"/>
    <w:rsid w:val="009B2461"/>
    <w:rsid w:val="009B2888"/>
    <w:rsid w:val="009B2A1C"/>
    <w:rsid w:val="009B5E9E"/>
    <w:rsid w:val="009B74EA"/>
    <w:rsid w:val="009C02C7"/>
    <w:rsid w:val="009C179E"/>
    <w:rsid w:val="009C3750"/>
    <w:rsid w:val="009C40DB"/>
    <w:rsid w:val="009C5075"/>
    <w:rsid w:val="009C6A60"/>
    <w:rsid w:val="009C74E3"/>
    <w:rsid w:val="009C79F2"/>
    <w:rsid w:val="009C7C09"/>
    <w:rsid w:val="009C7CEE"/>
    <w:rsid w:val="009D3815"/>
    <w:rsid w:val="009D4F0E"/>
    <w:rsid w:val="009D5F9A"/>
    <w:rsid w:val="009D786A"/>
    <w:rsid w:val="009D7B8E"/>
    <w:rsid w:val="009D7CE1"/>
    <w:rsid w:val="009D7D58"/>
    <w:rsid w:val="009E06EF"/>
    <w:rsid w:val="009E0E07"/>
    <w:rsid w:val="009E14F6"/>
    <w:rsid w:val="009E2020"/>
    <w:rsid w:val="009E3672"/>
    <w:rsid w:val="009E5DEB"/>
    <w:rsid w:val="009E63A7"/>
    <w:rsid w:val="009E64BA"/>
    <w:rsid w:val="009E67D8"/>
    <w:rsid w:val="009F0515"/>
    <w:rsid w:val="009F1560"/>
    <w:rsid w:val="009F17BA"/>
    <w:rsid w:val="009F2198"/>
    <w:rsid w:val="009F2B8E"/>
    <w:rsid w:val="009F2D7E"/>
    <w:rsid w:val="009F3229"/>
    <w:rsid w:val="009F3D5A"/>
    <w:rsid w:val="009F56F8"/>
    <w:rsid w:val="009F5F6C"/>
    <w:rsid w:val="009F6E6B"/>
    <w:rsid w:val="009F7A5E"/>
    <w:rsid w:val="009F7C1C"/>
    <w:rsid w:val="009F7E2A"/>
    <w:rsid w:val="009F7F6B"/>
    <w:rsid w:val="00A0035E"/>
    <w:rsid w:val="00A00A9A"/>
    <w:rsid w:val="00A0176C"/>
    <w:rsid w:val="00A05764"/>
    <w:rsid w:val="00A06DB3"/>
    <w:rsid w:val="00A06F56"/>
    <w:rsid w:val="00A076CC"/>
    <w:rsid w:val="00A11522"/>
    <w:rsid w:val="00A11C54"/>
    <w:rsid w:val="00A127D4"/>
    <w:rsid w:val="00A141A4"/>
    <w:rsid w:val="00A14756"/>
    <w:rsid w:val="00A16CF0"/>
    <w:rsid w:val="00A171DB"/>
    <w:rsid w:val="00A173E6"/>
    <w:rsid w:val="00A17A8C"/>
    <w:rsid w:val="00A21039"/>
    <w:rsid w:val="00A21C76"/>
    <w:rsid w:val="00A22A5A"/>
    <w:rsid w:val="00A248CE"/>
    <w:rsid w:val="00A25C1C"/>
    <w:rsid w:val="00A25D79"/>
    <w:rsid w:val="00A25E2E"/>
    <w:rsid w:val="00A26CE9"/>
    <w:rsid w:val="00A270AE"/>
    <w:rsid w:val="00A274A0"/>
    <w:rsid w:val="00A27BA7"/>
    <w:rsid w:val="00A27FB2"/>
    <w:rsid w:val="00A32077"/>
    <w:rsid w:val="00A332AD"/>
    <w:rsid w:val="00A351D9"/>
    <w:rsid w:val="00A3526C"/>
    <w:rsid w:val="00A35673"/>
    <w:rsid w:val="00A35F3A"/>
    <w:rsid w:val="00A3689B"/>
    <w:rsid w:val="00A36A82"/>
    <w:rsid w:val="00A37816"/>
    <w:rsid w:val="00A4085B"/>
    <w:rsid w:val="00A40ED7"/>
    <w:rsid w:val="00A424B3"/>
    <w:rsid w:val="00A4398B"/>
    <w:rsid w:val="00A43BEC"/>
    <w:rsid w:val="00A43CB5"/>
    <w:rsid w:val="00A44B2F"/>
    <w:rsid w:val="00A4507D"/>
    <w:rsid w:val="00A45336"/>
    <w:rsid w:val="00A4603F"/>
    <w:rsid w:val="00A46368"/>
    <w:rsid w:val="00A4659B"/>
    <w:rsid w:val="00A501F2"/>
    <w:rsid w:val="00A526C0"/>
    <w:rsid w:val="00A52D9F"/>
    <w:rsid w:val="00A52FFC"/>
    <w:rsid w:val="00A53F27"/>
    <w:rsid w:val="00A546CF"/>
    <w:rsid w:val="00A5482D"/>
    <w:rsid w:val="00A54BD7"/>
    <w:rsid w:val="00A613B6"/>
    <w:rsid w:val="00A61513"/>
    <w:rsid w:val="00A61874"/>
    <w:rsid w:val="00A6223F"/>
    <w:rsid w:val="00A628DE"/>
    <w:rsid w:val="00A62DBF"/>
    <w:rsid w:val="00A630C5"/>
    <w:rsid w:val="00A64487"/>
    <w:rsid w:val="00A64D31"/>
    <w:rsid w:val="00A65717"/>
    <w:rsid w:val="00A65E9F"/>
    <w:rsid w:val="00A661CE"/>
    <w:rsid w:val="00A662DE"/>
    <w:rsid w:val="00A66872"/>
    <w:rsid w:val="00A66F2E"/>
    <w:rsid w:val="00A6706E"/>
    <w:rsid w:val="00A673B5"/>
    <w:rsid w:val="00A729C5"/>
    <w:rsid w:val="00A72B8B"/>
    <w:rsid w:val="00A75AD5"/>
    <w:rsid w:val="00A76120"/>
    <w:rsid w:val="00A76B6B"/>
    <w:rsid w:val="00A7715B"/>
    <w:rsid w:val="00A77A1F"/>
    <w:rsid w:val="00A802B2"/>
    <w:rsid w:val="00A802C4"/>
    <w:rsid w:val="00A80383"/>
    <w:rsid w:val="00A80FBB"/>
    <w:rsid w:val="00A82620"/>
    <w:rsid w:val="00A82D71"/>
    <w:rsid w:val="00A82F1B"/>
    <w:rsid w:val="00A831F9"/>
    <w:rsid w:val="00A84AC6"/>
    <w:rsid w:val="00A851B6"/>
    <w:rsid w:val="00A85AC1"/>
    <w:rsid w:val="00A86504"/>
    <w:rsid w:val="00A9095C"/>
    <w:rsid w:val="00A909D6"/>
    <w:rsid w:val="00A913F7"/>
    <w:rsid w:val="00A92219"/>
    <w:rsid w:val="00A936A3"/>
    <w:rsid w:val="00A94B28"/>
    <w:rsid w:val="00A94D90"/>
    <w:rsid w:val="00A95189"/>
    <w:rsid w:val="00A96D89"/>
    <w:rsid w:val="00A97B40"/>
    <w:rsid w:val="00A97CE2"/>
    <w:rsid w:val="00AA0645"/>
    <w:rsid w:val="00AA0732"/>
    <w:rsid w:val="00AA0A0C"/>
    <w:rsid w:val="00AA1609"/>
    <w:rsid w:val="00AA1964"/>
    <w:rsid w:val="00AA22EE"/>
    <w:rsid w:val="00AA25DB"/>
    <w:rsid w:val="00AA3277"/>
    <w:rsid w:val="00AA46ED"/>
    <w:rsid w:val="00AA55D7"/>
    <w:rsid w:val="00AA61AE"/>
    <w:rsid w:val="00AA6B3F"/>
    <w:rsid w:val="00AA6E4D"/>
    <w:rsid w:val="00AA74CF"/>
    <w:rsid w:val="00AB0062"/>
    <w:rsid w:val="00AB0BC2"/>
    <w:rsid w:val="00AB0F56"/>
    <w:rsid w:val="00AB157F"/>
    <w:rsid w:val="00AB2A37"/>
    <w:rsid w:val="00AB2CB2"/>
    <w:rsid w:val="00AB334F"/>
    <w:rsid w:val="00AB3655"/>
    <w:rsid w:val="00AB39FE"/>
    <w:rsid w:val="00AB4B72"/>
    <w:rsid w:val="00AB6348"/>
    <w:rsid w:val="00AC0058"/>
    <w:rsid w:val="00AC07F8"/>
    <w:rsid w:val="00AC102F"/>
    <w:rsid w:val="00AC1644"/>
    <w:rsid w:val="00AC1707"/>
    <w:rsid w:val="00AC1F5E"/>
    <w:rsid w:val="00AC27B6"/>
    <w:rsid w:val="00AC29CC"/>
    <w:rsid w:val="00AC2C80"/>
    <w:rsid w:val="00AC3720"/>
    <w:rsid w:val="00AC48CE"/>
    <w:rsid w:val="00AC49B5"/>
    <w:rsid w:val="00AC5468"/>
    <w:rsid w:val="00AC5ACC"/>
    <w:rsid w:val="00AC5C69"/>
    <w:rsid w:val="00AC5E1B"/>
    <w:rsid w:val="00AC627B"/>
    <w:rsid w:val="00AC6F5A"/>
    <w:rsid w:val="00AC7BAC"/>
    <w:rsid w:val="00AD09FB"/>
    <w:rsid w:val="00AD2489"/>
    <w:rsid w:val="00AD35C2"/>
    <w:rsid w:val="00AD3DE0"/>
    <w:rsid w:val="00AD50F8"/>
    <w:rsid w:val="00AD6ADA"/>
    <w:rsid w:val="00AD7908"/>
    <w:rsid w:val="00AD7B8B"/>
    <w:rsid w:val="00AE18FC"/>
    <w:rsid w:val="00AE3181"/>
    <w:rsid w:val="00AE55EC"/>
    <w:rsid w:val="00AE6223"/>
    <w:rsid w:val="00AE66BA"/>
    <w:rsid w:val="00AE6AD6"/>
    <w:rsid w:val="00AE70F4"/>
    <w:rsid w:val="00AF1B4C"/>
    <w:rsid w:val="00AF1C54"/>
    <w:rsid w:val="00AF2653"/>
    <w:rsid w:val="00AF3B10"/>
    <w:rsid w:val="00AF6E50"/>
    <w:rsid w:val="00AF7195"/>
    <w:rsid w:val="00AF7554"/>
    <w:rsid w:val="00AF79DA"/>
    <w:rsid w:val="00AF7B63"/>
    <w:rsid w:val="00B012BD"/>
    <w:rsid w:val="00B01FE6"/>
    <w:rsid w:val="00B023B2"/>
    <w:rsid w:val="00B02606"/>
    <w:rsid w:val="00B058A0"/>
    <w:rsid w:val="00B06751"/>
    <w:rsid w:val="00B0751F"/>
    <w:rsid w:val="00B07915"/>
    <w:rsid w:val="00B109F3"/>
    <w:rsid w:val="00B10BBB"/>
    <w:rsid w:val="00B10CC7"/>
    <w:rsid w:val="00B10D28"/>
    <w:rsid w:val="00B1153F"/>
    <w:rsid w:val="00B134DA"/>
    <w:rsid w:val="00B13536"/>
    <w:rsid w:val="00B13A88"/>
    <w:rsid w:val="00B13D62"/>
    <w:rsid w:val="00B13F17"/>
    <w:rsid w:val="00B16A33"/>
    <w:rsid w:val="00B21417"/>
    <w:rsid w:val="00B237AC"/>
    <w:rsid w:val="00B240B6"/>
    <w:rsid w:val="00B250A6"/>
    <w:rsid w:val="00B270A8"/>
    <w:rsid w:val="00B27EF4"/>
    <w:rsid w:val="00B3222F"/>
    <w:rsid w:val="00B324AB"/>
    <w:rsid w:val="00B33BAA"/>
    <w:rsid w:val="00B34743"/>
    <w:rsid w:val="00B3522D"/>
    <w:rsid w:val="00B362D0"/>
    <w:rsid w:val="00B370B4"/>
    <w:rsid w:val="00B37E97"/>
    <w:rsid w:val="00B400CC"/>
    <w:rsid w:val="00B41343"/>
    <w:rsid w:val="00B423C7"/>
    <w:rsid w:val="00B433CD"/>
    <w:rsid w:val="00B44039"/>
    <w:rsid w:val="00B443F5"/>
    <w:rsid w:val="00B476E0"/>
    <w:rsid w:val="00B50040"/>
    <w:rsid w:val="00B50822"/>
    <w:rsid w:val="00B54FB0"/>
    <w:rsid w:val="00B557DD"/>
    <w:rsid w:val="00B572A2"/>
    <w:rsid w:val="00B57D10"/>
    <w:rsid w:val="00B60055"/>
    <w:rsid w:val="00B61390"/>
    <w:rsid w:val="00B618DC"/>
    <w:rsid w:val="00B6478E"/>
    <w:rsid w:val="00B64949"/>
    <w:rsid w:val="00B64C5F"/>
    <w:rsid w:val="00B65806"/>
    <w:rsid w:val="00B65985"/>
    <w:rsid w:val="00B65BA3"/>
    <w:rsid w:val="00B663A2"/>
    <w:rsid w:val="00B75145"/>
    <w:rsid w:val="00B7582C"/>
    <w:rsid w:val="00B759C9"/>
    <w:rsid w:val="00B76CF9"/>
    <w:rsid w:val="00B775F1"/>
    <w:rsid w:val="00B77E11"/>
    <w:rsid w:val="00B8015B"/>
    <w:rsid w:val="00B809A9"/>
    <w:rsid w:val="00B8131A"/>
    <w:rsid w:val="00B817BB"/>
    <w:rsid w:val="00B8390B"/>
    <w:rsid w:val="00B84A04"/>
    <w:rsid w:val="00B85519"/>
    <w:rsid w:val="00B8678D"/>
    <w:rsid w:val="00B8747F"/>
    <w:rsid w:val="00B87D75"/>
    <w:rsid w:val="00B87EF7"/>
    <w:rsid w:val="00B91020"/>
    <w:rsid w:val="00B925B2"/>
    <w:rsid w:val="00B93ABF"/>
    <w:rsid w:val="00B93B92"/>
    <w:rsid w:val="00B94B84"/>
    <w:rsid w:val="00B94D80"/>
    <w:rsid w:val="00B96CAB"/>
    <w:rsid w:val="00BA275E"/>
    <w:rsid w:val="00BA538C"/>
    <w:rsid w:val="00BA6521"/>
    <w:rsid w:val="00BA6669"/>
    <w:rsid w:val="00BA66AE"/>
    <w:rsid w:val="00BA6985"/>
    <w:rsid w:val="00BB0470"/>
    <w:rsid w:val="00BB04EC"/>
    <w:rsid w:val="00BB2539"/>
    <w:rsid w:val="00BB2AE5"/>
    <w:rsid w:val="00BB3269"/>
    <w:rsid w:val="00BB3F0E"/>
    <w:rsid w:val="00BB557B"/>
    <w:rsid w:val="00BB5CA1"/>
    <w:rsid w:val="00BB60E3"/>
    <w:rsid w:val="00BB6199"/>
    <w:rsid w:val="00BB620E"/>
    <w:rsid w:val="00BB7429"/>
    <w:rsid w:val="00BB77C0"/>
    <w:rsid w:val="00BB79A2"/>
    <w:rsid w:val="00BC1455"/>
    <w:rsid w:val="00BC2259"/>
    <w:rsid w:val="00BC24D1"/>
    <w:rsid w:val="00BC26F8"/>
    <w:rsid w:val="00BC2ADA"/>
    <w:rsid w:val="00BC3601"/>
    <w:rsid w:val="00BC4AB3"/>
    <w:rsid w:val="00BC57BA"/>
    <w:rsid w:val="00BC5F71"/>
    <w:rsid w:val="00BC71E0"/>
    <w:rsid w:val="00BC7567"/>
    <w:rsid w:val="00BD00BD"/>
    <w:rsid w:val="00BD139B"/>
    <w:rsid w:val="00BD142B"/>
    <w:rsid w:val="00BD182D"/>
    <w:rsid w:val="00BD2E73"/>
    <w:rsid w:val="00BD4DB3"/>
    <w:rsid w:val="00BD691C"/>
    <w:rsid w:val="00BE1B00"/>
    <w:rsid w:val="00BE21CD"/>
    <w:rsid w:val="00BE258B"/>
    <w:rsid w:val="00BE2A5C"/>
    <w:rsid w:val="00BE32CD"/>
    <w:rsid w:val="00BE4AFB"/>
    <w:rsid w:val="00BE4DA2"/>
    <w:rsid w:val="00BE5110"/>
    <w:rsid w:val="00BE5D32"/>
    <w:rsid w:val="00BE72A7"/>
    <w:rsid w:val="00BE7982"/>
    <w:rsid w:val="00BF1078"/>
    <w:rsid w:val="00BF1877"/>
    <w:rsid w:val="00BF22CA"/>
    <w:rsid w:val="00BF2D04"/>
    <w:rsid w:val="00BF2F23"/>
    <w:rsid w:val="00BF30BE"/>
    <w:rsid w:val="00BF36C0"/>
    <w:rsid w:val="00BF3856"/>
    <w:rsid w:val="00BF4DCE"/>
    <w:rsid w:val="00BF5000"/>
    <w:rsid w:val="00BF699F"/>
    <w:rsid w:val="00BF7358"/>
    <w:rsid w:val="00C00E45"/>
    <w:rsid w:val="00C01C5A"/>
    <w:rsid w:val="00C05B36"/>
    <w:rsid w:val="00C0621D"/>
    <w:rsid w:val="00C06C17"/>
    <w:rsid w:val="00C07FB9"/>
    <w:rsid w:val="00C10E55"/>
    <w:rsid w:val="00C114F8"/>
    <w:rsid w:val="00C11A34"/>
    <w:rsid w:val="00C11ECF"/>
    <w:rsid w:val="00C120AF"/>
    <w:rsid w:val="00C12868"/>
    <w:rsid w:val="00C136BD"/>
    <w:rsid w:val="00C158B1"/>
    <w:rsid w:val="00C16E0B"/>
    <w:rsid w:val="00C17902"/>
    <w:rsid w:val="00C227FA"/>
    <w:rsid w:val="00C235AB"/>
    <w:rsid w:val="00C23D6B"/>
    <w:rsid w:val="00C23DBE"/>
    <w:rsid w:val="00C24027"/>
    <w:rsid w:val="00C24797"/>
    <w:rsid w:val="00C24977"/>
    <w:rsid w:val="00C274DD"/>
    <w:rsid w:val="00C27582"/>
    <w:rsid w:val="00C279DB"/>
    <w:rsid w:val="00C30673"/>
    <w:rsid w:val="00C30932"/>
    <w:rsid w:val="00C31B08"/>
    <w:rsid w:val="00C33815"/>
    <w:rsid w:val="00C345E7"/>
    <w:rsid w:val="00C34BB5"/>
    <w:rsid w:val="00C34E28"/>
    <w:rsid w:val="00C35210"/>
    <w:rsid w:val="00C3753F"/>
    <w:rsid w:val="00C37567"/>
    <w:rsid w:val="00C37D14"/>
    <w:rsid w:val="00C37D76"/>
    <w:rsid w:val="00C40367"/>
    <w:rsid w:val="00C4038C"/>
    <w:rsid w:val="00C403B3"/>
    <w:rsid w:val="00C4044B"/>
    <w:rsid w:val="00C4141E"/>
    <w:rsid w:val="00C42819"/>
    <w:rsid w:val="00C43AD8"/>
    <w:rsid w:val="00C449C1"/>
    <w:rsid w:val="00C45270"/>
    <w:rsid w:val="00C45A8F"/>
    <w:rsid w:val="00C465B7"/>
    <w:rsid w:val="00C4767D"/>
    <w:rsid w:val="00C5003B"/>
    <w:rsid w:val="00C502B0"/>
    <w:rsid w:val="00C50AFA"/>
    <w:rsid w:val="00C510DF"/>
    <w:rsid w:val="00C51811"/>
    <w:rsid w:val="00C54936"/>
    <w:rsid w:val="00C54E4F"/>
    <w:rsid w:val="00C5552C"/>
    <w:rsid w:val="00C55AFE"/>
    <w:rsid w:val="00C55E5E"/>
    <w:rsid w:val="00C56C44"/>
    <w:rsid w:val="00C57B71"/>
    <w:rsid w:val="00C60BB3"/>
    <w:rsid w:val="00C61EC3"/>
    <w:rsid w:val="00C63825"/>
    <w:rsid w:val="00C6492B"/>
    <w:rsid w:val="00C65B4D"/>
    <w:rsid w:val="00C66396"/>
    <w:rsid w:val="00C669D8"/>
    <w:rsid w:val="00C66C32"/>
    <w:rsid w:val="00C674C6"/>
    <w:rsid w:val="00C6757C"/>
    <w:rsid w:val="00C706EB"/>
    <w:rsid w:val="00C71110"/>
    <w:rsid w:val="00C71220"/>
    <w:rsid w:val="00C714F4"/>
    <w:rsid w:val="00C71971"/>
    <w:rsid w:val="00C71BC2"/>
    <w:rsid w:val="00C7338F"/>
    <w:rsid w:val="00C733D1"/>
    <w:rsid w:val="00C7397B"/>
    <w:rsid w:val="00C743E6"/>
    <w:rsid w:val="00C74689"/>
    <w:rsid w:val="00C760CE"/>
    <w:rsid w:val="00C7655A"/>
    <w:rsid w:val="00C76D7E"/>
    <w:rsid w:val="00C77629"/>
    <w:rsid w:val="00C80060"/>
    <w:rsid w:val="00C80491"/>
    <w:rsid w:val="00C8192F"/>
    <w:rsid w:val="00C83200"/>
    <w:rsid w:val="00C83471"/>
    <w:rsid w:val="00C836F7"/>
    <w:rsid w:val="00C83BB2"/>
    <w:rsid w:val="00C84D8D"/>
    <w:rsid w:val="00C8501F"/>
    <w:rsid w:val="00C85984"/>
    <w:rsid w:val="00C85DB8"/>
    <w:rsid w:val="00C8633D"/>
    <w:rsid w:val="00C87285"/>
    <w:rsid w:val="00C874B5"/>
    <w:rsid w:val="00C87B59"/>
    <w:rsid w:val="00C91D44"/>
    <w:rsid w:val="00C93710"/>
    <w:rsid w:val="00C95EFD"/>
    <w:rsid w:val="00C979B0"/>
    <w:rsid w:val="00C97F10"/>
    <w:rsid w:val="00CA0F9A"/>
    <w:rsid w:val="00CA1304"/>
    <w:rsid w:val="00CA1990"/>
    <w:rsid w:val="00CA1BB9"/>
    <w:rsid w:val="00CA2DEE"/>
    <w:rsid w:val="00CA346B"/>
    <w:rsid w:val="00CA358E"/>
    <w:rsid w:val="00CA3A0A"/>
    <w:rsid w:val="00CA3E58"/>
    <w:rsid w:val="00CA4055"/>
    <w:rsid w:val="00CA515E"/>
    <w:rsid w:val="00CA5686"/>
    <w:rsid w:val="00CA6021"/>
    <w:rsid w:val="00CA7052"/>
    <w:rsid w:val="00CB0925"/>
    <w:rsid w:val="00CB1701"/>
    <w:rsid w:val="00CB1BF0"/>
    <w:rsid w:val="00CB2AC8"/>
    <w:rsid w:val="00CB2D50"/>
    <w:rsid w:val="00CB3F0D"/>
    <w:rsid w:val="00CC0559"/>
    <w:rsid w:val="00CC0A94"/>
    <w:rsid w:val="00CC0ECE"/>
    <w:rsid w:val="00CC1BC8"/>
    <w:rsid w:val="00CC2078"/>
    <w:rsid w:val="00CC210A"/>
    <w:rsid w:val="00CC4658"/>
    <w:rsid w:val="00CC5FFD"/>
    <w:rsid w:val="00CC76A5"/>
    <w:rsid w:val="00CC7796"/>
    <w:rsid w:val="00CC7D1D"/>
    <w:rsid w:val="00CD0360"/>
    <w:rsid w:val="00CD26A8"/>
    <w:rsid w:val="00CD2EB4"/>
    <w:rsid w:val="00CD2FD6"/>
    <w:rsid w:val="00CD3178"/>
    <w:rsid w:val="00CD457E"/>
    <w:rsid w:val="00CD4861"/>
    <w:rsid w:val="00CD52FF"/>
    <w:rsid w:val="00CD5309"/>
    <w:rsid w:val="00CD6630"/>
    <w:rsid w:val="00CE0891"/>
    <w:rsid w:val="00CE1588"/>
    <w:rsid w:val="00CE1EA6"/>
    <w:rsid w:val="00CE26A8"/>
    <w:rsid w:val="00CE3912"/>
    <w:rsid w:val="00CE40AE"/>
    <w:rsid w:val="00CE41D9"/>
    <w:rsid w:val="00CE4278"/>
    <w:rsid w:val="00CE487E"/>
    <w:rsid w:val="00CE5D75"/>
    <w:rsid w:val="00CE6882"/>
    <w:rsid w:val="00CE73E9"/>
    <w:rsid w:val="00CF027B"/>
    <w:rsid w:val="00CF2651"/>
    <w:rsid w:val="00CF3643"/>
    <w:rsid w:val="00CF4C4C"/>
    <w:rsid w:val="00CF4EF2"/>
    <w:rsid w:val="00CF6FBC"/>
    <w:rsid w:val="00CF758B"/>
    <w:rsid w:val="00CF7EEE"/>
    <w:rsid w:val="00D00740"/>
    <w:rsid w:val="00D00E20"/>
    <w:rsid w:val="00D01D9A"/>
    <w:rsid w:val="00D020E9"/>
    <w:rsid w:val="00D02322"/>
    <w:rsid w:val="00D03276"/>
    <w:rsid w:val="00D066B2"/>
    <w:rsid w:val="00D06D81"/>
    <w:rsid w:val="00D06E0C"/>
    <w:rsid w:val="00D10D0C"/>
    <w:rsid w:val="00D10F43"/>
    <w:rsid w:val="00D11253"/>
    <w:rsid w:val="00D1160D"/>
    <w:rsid w:val="00D11C95"/>
    <w:rsid w:val="00D12682"/>
    <w:rsid w:val="00D1378C"/>
    <w:rsid w:val="00D138B1"/>
    <w:rsid w:val="00D162BE"/>
    <w:rsid w:val="00D200CF"/>
    <w:rsid w:val="00D20291"/>
    <w:rsid w:val="00D2047D"/>
    <w:rsid w:val="00D235B3"/>
    <w:rsid w:val="00D2364F"/>
    <w:rsid w:val="00D23C82"/>
    <w:rsid w:val="00D240B7"/>
    <w:rsid w:val="00D258CB"/>
    <w:rsid w:val="00D261DD"/>
    <w:rsid w:val="00D26517"/>
    <w:rsid w:val="00D2656A"/>
    <w:rsid w:val="00D266F3"/>
    <w:rsid w:val="00D30A75"/>
    <w:rsid w:val="00D30BAA"/>
    <w:rsid w:val="00D30E60"/>
    <w:rsid w:val="00D3171D"/>
    <w:rsid w:val="00D32FA1"/>
    <w:rsid w:val="00D33541"/>
    <w:rsid w:val="00D34EFE"/>
    <w:rsid w:val="00D34F17"/>
    <w:rsid w:val="00D34FC5"/>
    <w:rsid w:val="00D37C31"/>
    <w:rsid w:val="00D37FBF"/>
    <w:rsid w:val="00D405DF"/>
    <w:rsid w:val="00D41205"/>
    <w:rsid w:val="00D42582"/>
    <w:rsid w:val="00D42DC3"/>
    <w:rsid w:val="00D45056"/>
    <w:rsid w:val="00D4519E"/>
    <w:rsid w:val="00D46373"/>
    <w:rsid w:val="00D46D3A"/>
    <w:rsid w:val="00D47018"/>
    <w:rsid w:val="00D51D38"/>
    <w:rsid w:val="00D520D5"/>
    <w:rsid w:val="00D525AE"/>
    <w:rsid w:val="00D53C8B"/>
    <w:rsid w:val="00D54788"/>
    <w:rsid w:val="00D54819"/>
    <w:rsid w:val="00D550DF"/>
    <w:rsid w:val="00D55A32"/>
    <w:rsid w:val="00D56526"/>
    <w:rsid w:val="00D56F7A"/>
    <w:rsid w:val="00D572D5"/>
    <w:rsid w:val="00D603BA"/>
    <w:rsid w:val="00D605DB"/>
    <w:rsid w:val="00D61C97"/>
    <w:rsid w:val="00D62279"/>
    <w:rsid w:val="00D624CB"/>
    <w:rsid w:val="00D6424B"/>
    <w:rsid w:val="00D651DE"/>
    <w:rsid w:val="00D6530D"/>
    <w:rsid w:val="00D656B4"/>
    <w:rsid w:val="00D657B8"/>
    <w:rsid w:val="00D663A5"/>
    <w:rsid w:val="00D66D29"/>
    <w:rsid w:val="00D705F4"/>
    <w:rsid w:val="00D70C5E"/>
    <w:rsid w:val="00D714A1"/>
    <w:rsid w:val="00D7172B"/>
    <w:rsid w:val="00D723A6"/>
    <w:rsid w:val="00D748EB"/>
    <w:rsid w:val="00D74C0E"/>
    <w:rsid w:val="00D74EED"/>
    <w:rsid w:val="00D7589C"/>
    <w:rsid w:val="00D75A4E"/>
    <w:rsid w:val="00D767D3"/>
    <w:rsid w:val="00D7727C"/>
    <w:rsid w:val="00D7739F"/>
    <w:rsid w:val="00D80B73"/>
    <w:rsid w:val="00D8138E"/>
    <w:rsid w:val="00D81932"/>
    <w:rsid w:val="00D81EAE"/>
    <w:rsid w:val="00D82BC6"/>
    <w:rsid w:val="00D86686"/>
    <w:rsid w:val="00D86FDB"/>
    <w:rsid w:val="00D879D1"/>
    <w:rsid w:val="00D900D6"/>
    <w:rsid w:val="00D90208"/>
    <w:rsid w:val="00D90DFF"/>
    <w:rsid w:val="00D93718"/>
    <w:rsid w:val="00D93C06"/>
    <w:rsid w:val="00D94E25"/>
    <w:rsid w:val="00D95286"/>
    <w:rsid w:val="00D95573"/>
    <w:rsid w:val="00D9736D"/>
    <w:rsid w:val="00DA0167"/>
    <w:rsid w:val="00DA0C80"/>
    <w:rsid w:val="00DA16C1"/>
    <w:rsid w:val="00DA17E4"/>
    <w:rsid w:val="00DA204A"/>
    <w:rsid w:val="00DA2C40"/>
    <w:rsid w:val="00DA4C0F"/>
    <w:rsid w:val="00DA502C"/>
    <w:rsid w:val="00DA5032"/>
    <w:rsid w:val="00DA5119"/>
    <w:rsid w:val="00DA5A93"/>
    <w:rsid w:val="00DB0F00"/>
    <w:rsid w:val="00DB3D2E"/>
    <w:rsid w:val="00DB40BD"/>
    <w:rsid w:val="00DB7E2F"/>
    <w:rsid w:val="00DC017F"/>
    <w:rsid w:val="00DC03CD"/>
    <w:rsid w:val="00DC176F"/>
    <w:rsid w:val="00DC1EB7"/>
    <w:rsid w:val="00DC278B"/>
    <w:rsid w:val="00DC2E0A"/>
    <w:rsid w:val="00DC3C17"/>
    <w:rsid w:val="00DC6CA0"/>
    <w:rsid w:val="00DC7AEA"/>
    <w:rsid w:val="00DD01E5"/>
    <w:rsid w:val="00DD03E9"/>
    <w:rsid w:val="00DD0699"/>
    <w:rsid w:val="00DD1434"/>
    <w:rsid w:val="00DD236B"/>
    <w:rsid w:val="00DD2BAB"/>
    <w:rsid w:val="00DD2C28"/>
    <w:rsid w:val="00DD2DFE"/>
    <w:rsid w:val="00DD4A61"/>
    <w:rsid w:val="00DD5F63"/>
    <w:rsid w:val="00DE398B"/>
    <w:rsid w:val="00DE4CD3"/>
    <w:rsid w:val="00DE5B3B"/>
    <w:rsid w:val="00DE750B"/>
    <w:rsid w:val="00DE7F84"/>
    <w:rsid w:val="00DF0194"/>
    <w:rsid w:val="00DF0903"/>
    <w:rsid w:val="00DF0A4C"/>
    <w:rsid w:val="00DF0D55"/>
    <w:rsid w:val="00DF183B"/>
    <w:rsid w:val="00DF3266"/>
    <w:rsid w:val="00DF3446"/>
    <w:rsid w:val="00DF3AA3"/>
    <w:rsid w:val="00DF4FF7"/>
    <w:rsid w:val="00DF5CA5"/>
    <w:rsid w:val="00DF7B75"/>
    <w:rsid w:val="00DF7DAD"/>
    <w:rsid w:val="00DF7F1A"/>
    <w:rsid w:val="00E01723"/>
    <w:rsid w:val="00E017E7"/>
    <w:rsid w:val="00E0233B"/>
    <w:rsid w:val="00E027EE"/>
    <w:rsid w:val="00E02884"/>
    <w:rsid w:val="00E03202"/>
    <w:rsid w:val="00E03E7C"/>
    <w:rsid w:val="00E042E0"/>
    <w:rsid w:val="00E1104F"/>
    <w:rsid w:val="00E126C6"/>
    <w:rsid w:val="00E15250"/>
    <w:rsid w:val="00E1532E"/>
    <w:rsid w:val="00E155DA"/>
    <w:rsid w:val="00E16A5C"/>
    <w:rsid w:val="00E17E41"/>
    <w:rsid w:val="00E201AB"/>
    <w:rsid w:val="00E2182A"/>
    <w:rsid w:val="00E24154"/>
    <w:rsid w:val="00E24BC8"/>
    <w:rsid w:val="00E253BD"/>
    <w:rsid w:val="00E2566D"/>
    <w:rsid w:val="00E259BE"/>
    <w:rsid w:val="00E26A06"/>
    <w:rsid w:val="00E2793B"/>
    <w:rsid w:val="00E30034"/>
    <w:rsid w:val="00E3087E"/>
    <w:rsid w:val="00E312FD"/>
    <w:rsid w:val="00E3147D"/>
    <w:rsid w:val="00E33429"/>
    <w:rsid w:val="00E35B41"/>
    <w:rsid w:val="00E37283"/>
    <w:rsid w:val="00E3731D"/>
    <w:rsid w:val="00E4006A"/>
    <w:rsid w:val="00E413D1"/>
    <w:rsid w:val="00E417FD"/>
    <w:rsid w:val="00E418F8"/>
    <w:rsid w:val="00E42823"/>
    <w:rsid w:val="00E431A9"/>
    <w:rsid w:val="00E445AA"/>
    <w:rsid w:val="00E445AD"/>
    <w:rsid w:val="00E445E7"/>
    <w:rsid w:val="00E44D74"/>
    <w:rsid w:val="00E45051"/>
    <w:rsid w:val="00E467AF"/>
    <w:rsid w:val="00E47892"/>
    <w:rsid w:val="00E47F1D"/>
    <w:rsid w:val="00E502CC"/>
    <w:rsid w:val="00E51F15"/>
    <w:rsid w:val="00E53522"/>
    <w:rsid w:val="00E5355C"/>
    <w:rsid w:val="00E542DC"/>
    <w:rsid w:val="00E543B6"/>
    <w:rsid w:val="00E54EC4"/>
    <w:rsid w:val="00E576B8"/>
    <w:rsid w:val="00E607F2"/>
    <w:rsid w:val="00E60BD0"/>
    <w:rsid w:val="00E60FE7"/>
    <w:rsid w:val="00E6147D"/>
    <w:rsid w:val="00E63975"/>
    <w:rsid w:val="00E65180"/>
    <w:rsid w:val="00E655E4"/>
    <w:rsid w:val="00E65E49"/>
    <w:rsid w:val="00E66BA3"/>
    <w:rsid w:val="00E66F22"/>
    <w:rsid w:val="00E678BD"/>
    <w:rsid w:val="00E67D61"/>
    <w:rsid w:val="00E7028C"/>
    <w:rsid w:val="00E709AF"/>
    <w:rsid w:val="00E70A16"/>
    <w:rsid w:val="00E71A0E"/>
    <w:rsid w:val="00E72249"/>
    <w:rsid w:val="00E73CEC"/>
    <w:rsid w:val="00E73D36"/>
    <w:rsid w:val="00E743E6"/>
    <w:rsid w:val="00E74A05"/>
    <w:rsid w:val="00E759AF"/>
    <w:rsid w:val="00E75D0E"/>
    <w:rsid w:val="00E7633D"/>
    <w:rsid w:val="00E77B5F"/>
    <w:rsid w:val="00E8044B"/>
    <w:rsid w:val="00E82FA5"/>
    <w:rsid w:val="00E830B2"/>
    <w:rsid w:val="00E83ABF"/>
    <w:rsid w:val="00E83B02"/>
    <w:rsid w:val="00E83DD1"/>
    <w:rsid w:val="00E85264"/>
    <w:rsid w:val="00E863BA"/>
    <w:rsid w:val="00E8644F"/>
    <w:rsid w:val="00E864B6"/>
    <w:rsid w:val="00E86CF6"/>
    <w:rsid w:val="00E8717B"/>
    <w:rsid w:val="00E8727C"/>
    <w:rsid w:val="00E91928"/>
    <w:rsid w:val="00E944E1"/>
    <w:rsid w:val="00E94862"/>
    <w:rsid w:val="00E95542"/>
    <w:rsid w:val="00EA1DB7"/>
    <w:rsid w:val="00EA3783"/>
    <w:rsid w:val="00EA58FD"/>
    <w:rsid w:val="00EA6098"/>
    <w:rsid w:val="00EA60A6"/>
    <w:rsid w:val="00EA680D"/>
    <w:rsid w:val="00EA699E"/>
    <w:rsid w:val="00EB01A2"/>
    <w:rsid w:val="00EB041D"/>
    <w:rsid w:val="00EB0D5F"/>
    <w:rsid w:val="00EB1007"/>
    <w:rsid w:val="00EB32B1"/>
    <w:rsid w:val="00EB4678"/>
    <w:rsid w:val="00EB6775"/>
    <w:rsid w:val="00EB77DD"/>
    <w:rsid w:val="00EC025C"/>
    <w:rsid w:val="00EC2085"/>
    <w:rsid w:val="00EC50DF"/>
    <w:rsid w:val="00EC59F3"/>
    <w:rsid w:val="00EC6A2A"/>
    <w:rsid w:val="00EC7078"/>
    <w:rsid w:val="00EC75A5"/>
    <w:rsid w:val="00ED0747"/>
    <w:rsid w:val="00ED1F82"/>
    <w:rsid w:val="00ED235F"/>
    <w:rsid w:val="00ED273C"/>
    <w:rsid w:val="00ED3942"/>
    <w:rsid w:val="00ED3B86"/>
    <w:rsid w:val="00ED441A"/>
    <w:rsid w:val="00ED4C36"/>
    <w:rsid w:val="00ED4D65"/>
    <w:rsid w:val="00ED5B0E"/>
    <w:rsid w:val="00ED796E"/>
    <w:rsid w:val="00ED79BE"/>
    <w:rsid w:val="00ED7EEA"/>
    <w:rsid w:val="00EE0657"/>
    <w:rsid w:val="00EE36BA"/>
    <w:rsid w:val="00EE3859"/>
    <w:rsid w:val="00EE3FE3"/>
    <w:rsid w:val="00EE4829"/>
    <w:rsid w:val="00EE4BD5"/>
    <w:rsid w:val="00EE4E5C"/>
    <w:rsid w:val="00EE5979"/>
    <w:rsid w:val="00EF14B3"/>
    <w:rsid w:val="00EF152D"/>
    <w:rsid w:val="00EF1D7A"/>
    <w:rsid w:val="00EF26A1"/>
    <w:rsid w:val="00EF3199"/>
    <w:rsid w:val="00EF3844"/>
    <w:rsid w:val="00EF46EE"/>
    <w:rsid w:val="00EF51ED"/>
    <w:rsid w:val="00EF5550"/>
    <w:rsid w:val="00EF5AB0"/>
    <w:rsid w:val="00EF5C10"/>
    <w:rsid w:val="00EF61C7"/>
    <w:rsid w:val="00EF6AA5"/>
    <w:rsid w:val="00EF6AE3"/>
    <w:rsid w:val="00EF6F26"/>
    <w:rsid w:val="00EF7271"/>
    <w:rsid w:val="00F01378"/>
    <w:rsid w:val="00F02F2F"/>
    <w:rsid w:val="00F03246"/>
    <w:rsid w:val="00F03EEE"/>
    <w:rsid w:val="00F040E6"/>
    <w:rsid w:val="00F042CC"/>
    <w:rsid w:val="00F04792"/>
    <w:rsid w:val="00F0492A"/>
    <w:rsid w:val="00F05508"/>
    <w:rsid w:val="00F0579A"/>
    <w:rsid w:val="00F05C40"/>
    <w:rsid w:val="00F05E26"/>
    <w:rsid w:val="00F0616F"/>
    <w:rsid w:val="00F061CE"/>
    <w:rsid w:val="00F06C98"/>
    <w:rsid w:val="00F07318"/>
    <w:rsid w:val="00F101FF"/>
    <w:rsid w:val="00F11479"/>
    <w:rsid w:val="00F117EC"/>
    <w:rsid w:val="00F12056"/>
    <w:rsid w:val="00F120F5"/>
    <w:rsid w:val="00F1239D"/>
    <w:rsid w:val="00F12B43"/>
    <w:rsid w:val="00F1310E"/>
    <w:rsid w:val="00F13726"/>
    <w:rsid w:val="00F13EFF"/>
    <w:rsid w:val="00F15221"/>
    <w:rsid w:val="00F1585A"/>
    <w:rsid w:val="00F15D76"/>
    <w:rsid w:val="00F164FB"/>
    <w:rsid w:val="00F1761D"/>
    <w:rsid w:val="00F178BE"/>
    <w:rsid w:val="00F17DBB"/>
    <w:rsid w:val="00F204D8"/>
    <w:rsid w:val="00F20C4F"/>
    <w:rsid w:val="00F21404"/>
    <w:rsid w:val="00F2151D"/>
    <w:rsid w:val="00F218E5"/>
    <w:rsid w:val="00F21CB1"/>
    <w:rsid w:val="00F21E57"/>
    <w:rsid w:val="00F22FBD"/>
    <w:rsid w:val="00F263C2"/>
    <w:rsid w:val="00F271E9"/>
    <w:rsid w:val="00F27F6F"/>
    <w:rsid w:val="00F3040E"/>
    <w:rsid w:val="00F3050A"/>
    <w:rsid w:val="00F316A6"/>
    <w:rsid w:val="00F31D3D"/>
    <w:rsid w:val="00F321CA"/>
    <w:rsid w:val="00F3281B"/>
    <w:rsid w:val="00F32CF7"/>
    <w:rsid w:val="00F32F36"/>
    <w:rsid w:val="00F33BDB"/>
    <w:rsid w:val="00F33DC4"/>
    <w:rsid w:val="00F360FC"/>
    <w:rsid w:val="00F36BE3"/>
    <w:rsid w:val="00F370B7"/>
    <w:rsid w:val="00F374E0"/>
    <w:rsid w:val="00F41CB4"/>
    <w:rsid w:val="00F42474"/>
    <w:rsid w:val="00F43D44"/>
    <w:rsid w:val="00F43FFE"/>
    <w:rsid w:val="00F44732"/>
    <w:rsid w:val="00F45453"/>
    <w:rsid w:val="00F459AC"/>
    <w:rsid w:val="00F45C54"/>
    <w:rsid w:val="00F46394"/>
    <w:rsid w:val="00F47F8C"/>
    <w:rsid w:val="00F51FFE"/>
    <w:rsid w:val="00F53924"/>
    <w:rsid w:val="00F5445B"/>
    <w:rsid w:val="00F56714"/>
    <w:rsid w:val="00F614E8"/>
    <w:rsid w:val="00F61AAE"/>
    <w:rsid w:val="00F62F31"/>
    <w:rsid w:val="00F654DE"/>
    <w:rsid w:val="00F65FCE"/>
    <w:rsid w:val="00F66C31"/>
    <w:rsid w:val="00F672F1"/>
    <w:rsid w:val="00F674A8"/>
    <w:rsid w:val="00F67A6C"/>
    <w:rsid w:val="00F67BFF"/>
    <w:rsid w:val="00F70312"/>
    <w:rsid w:val="00F709DC"/>
    <w:rsid w:val="00F72370"/>
    <w:rsid w:val="00F73518"/>
    <w:rsid w:val="00F73942"/>
    <w:rsid w:val="00F7766E"/>
    <w:rsid w:val="00F81F9B"/>
    <w:rsid w:val="00F825C2"/>
    <w:rsid w:val="00F82CCA"/>
    <w:rsid w:val="00F82D33"/>
    <w:rsid w:val="00F8327E"/>
    <w:rsid w:val="00F837C5"/>
    <w:rsid w:val="00F85171"/>
    <w:rsid w:val="00F85B40"/>
    <w:rsid w:val="00F85CF2"/>
    <w:rsid w:val="00F86344"/>
    <w:rsid w:val="00F87CD6"/>
    <w:rsid w:val="00F91718"/>
    <w:rsid w:val="00F9406C"/>
    <w:rsid w:val="00F94352"/>
    <w:rsid w:val="00F94487"/>
    <w:rsid w:val="00F94D6D"/>
    <w:rsid w:val="00F94F13"/>
    <w:rsid w:val="00F95B3D"/>
    <w:rsid w:val="00F95E26"/>
    <w:rsid w:val="00F962A8"/>
    <w:rsid w:val="00F97F73"/>
    <w:rsid w:val="00FA1DF8"/>
    <w:rsid w:val="00FA2329"/>
    <w:rsid w:val="00FA30EE"/>
    <w:rsid w:val="00FA432D"/>
    <w:rsid w:val="00FA4646"/>
    <w:rsid w:val="00FA4D8E"/>
    <w:rsid w:val="00FA509B"/>
    <w:rsid w:val="00FA52A5"/>
    <w:rsid w:val="00FA7CD6"/>
    <w:rsid w:val="00FB1846"/>
    <w:rsid w:val="00FB1C5B"/>
    <w:rsid w:val="00FB1E06"/>
    <w:rsid w:val="00FB3D72"/>
    <w:rsid w:val="00FB4531"/>
    <w:rsid w:val="00FB684F"/>
    <w:rsid w:val="00FC055E"/>
    <w:rsid w:val="00FC203E"/>
    <w:rsid w:val="00FC2335"/>
    <w:rsid w:val="00FC2A7F"/>
    <w:rsid w:val="00FC2F81"/>
    <w:rsid w:val="00FC3E33"/>
    <w:rsid w:val="00FC3F56"/>
    <w:rsid w:val="00FC4A59"/>
    <w:rsid w:val="00FC4E56"/>
    <w:rsid w:val="00FC6317"/>
    <w:rsid w:val="00FC6852"/>
    <w:rsid w:val="00FC7183"/>
    <w:rsid w:val="00FD0656"/>
    <w:rsid w:val="00FD2CF5"/>
    <w:rsid w:val="00FD5056"/>
    <w:rsid w:val="00FD646C"/>
    <w:rsid w:val="00FD661C"/>
    <w:rsid w:val="00FD6CDF"/>
    <w:rsid w:val="00FD6F93"/>
    <w:rsid w:val="00FD7546"/>
    <w:rsid w:val="00FE0957"/>
    <w:rsid w:val="00FE137C"/>
    <w:rsid w:val="00FE26D3"/>
    <w:rsid w:val="00FE27F0"/>
    <w:rsid w:val="00FE2AED"/>
    <w:rsid w:val="00FE3B46"/>
    <w:rsid w:val="00FE432F"/>
    <w:rsid w:val="00FE4D2A"/>
    <w:rsid w:val="00FE4E36"/>
    <w:rsid w:val="00FE5687"/>
    <w:rsid w:val="00FE75DC"/>
    <w:rsid w:val="00FF05A2"/>
    <w:rsid w:val="00FF085B"/>
    <w:rsid w:val="00FF094A"/>
    <w:rsid w:val="00FF1246"/>
    <w:rsid w:val="00FF58E8"/>
    <w:rsid w:val="00FF676D"/>
    <w:rsid w:val="00FF6A5E"/>
    <w:rsid w:val="00FF7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780D4B"/>
  <w15:docId w15:val="{DBF2C49F-8506-4507-8607-3BBDA164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7FBF"/>
    <w:rPr>
      <w:sz w:val="24"/>
      <w:szCs w:val="24"/>
      <w:lang w:eastAsia="ja-JP"/>
    </w:rPr>
  </w:style>
  <w:style w:type="paragraph" w:styleId="berschrift1">
    <w:name w:val="heading 1"/>
    <w:basedOn w:val="Standard"/>
    <w:next w:val="Standard"/>
    <w:link w:val="berschrift1Zchn"/>
    <w:uiPriority w:val="99"/>
    <w:qFormat/>
    <w:rsid w:val="00655A00"/>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402863"/>
    <w:pPr>
      <w:keepNext/>
      <w:spacing w:before="240" w:after="60"/>
      <w:outlineLvl w:val="1"/>
    </w:pPr>
    <w:rPr>
      <w:rFonts w:ascii="Arial" w:hAnsi="Arial" w:cs="Arial"/>
      <w:b/>
      <w:bCs/>
      <w:i/>
      <w:iCs/>
      <w:sz w:val="28"/>
      <w:szCs w:val="28"/>
    </w:rPr>
  </w:style>
  <w:style w:type="paragraph" w:styleId="berschrift5">
    <w:name w:val="heading 5"/>
    <w:basedOn w:val="Standard"/>
    <w:link w:val="berschrift5Zchn"/>
    <w:uiPriority w:val="99"/>
    <w:qFormat/>
    <w:rsid w:val="002C3971"/>
    <w:pPr>
      <w:spacing w:before="100" w:beforeAutospacing="1" w:after="100" w:afterAutospacing="1"/>
      <w:outlineLvl w:val="4"/>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eastAsia="ja-JP"/>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lang w:eastAsia="ja-JP"/>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lang w:eastAsia="ja-JP"/>
    </w:rPr>
  </w:style>
  <w:style w:type="character" w:styleId="Hyperlink">
    <w:name w:val="Hyperlink"/>
    <w:basedOn w:val="Absatz-Standardschriftart"/>
    <w:uiPriority w:val="99"/>
    <w:rsid w:val="002C3971"/>
    <w:rPr>
      <w:rFonts w:cs="Times New Roman"/>
      <w:color w:val="0000FF"/>
      <w:u w:val="single"/>
    </w:rPr>
  </w:style>
  <w:style w:type="paragraph" w:styleId="Funotentext">
    <w:name w:val="footnote text"/>
    <w:basedOn w:val="Standard"/>
    <w:link w:val="FunotentextZchn"/>
    <w:uiPriority w:val="99"/>
    <w:semiHidden/>
    <w:rsid w:val="002C3971"/>
    <w:rPr>
      <w:sz w:val="20"/>
      <w:szCs w:val="20"/>
    </w:rPr>
  </w:style>
  <w:style w:type="character" w:customStyle="1" w:styleId="FunotentextZchn">
    <w:name w:val="Fußnotentext Zchn"/>
    <w:basedOn w:val="Absatz-Standardschriftart"/>
    <w:link w:val="Funotentext"/>
    <w:uiPriority w:val="99"/>
    <w:semiHidden/>
    <w:locked/>
    <w:rsid w:val="003C3CF3"/>
    <w:rPr>
      <w:rFonts w:eastAsia="MS Mincho" w:cs="Times New Roman"/>
      <w:lang w:val="de-DE" w:eastAsia="ja-JP"/>
    </w:rPr>
  </w:style>
  <w:style w:type="character" w:styleId="Funotenzeichen">
    <w:name w:val="footnote reference"/>
    <w:basedOn w:val="Absatz-Standardschriftart"/>
    <w:uiPriority w:val="99"/>
    <w:semiHidden/>
    <w:rsid w:val="002C3971"/>
    <w:rPr>
      <w:rFonts w:cs="Times New Roman"/>
      <w:vertAlign w:val="superscript"/>
    </w:rPr>
  </w:style>
  <w:style w:type="character" w:customStyle="1" w:styleId="gr">
    <w:name w:val="gr"/>
    <w:basedOn w:val="Absatz-Standardschriftart"/>
    <w:uiPriority w:val="99"/>
    <w:rsid w:val="002C3971"/>
    <w:rPr>
      <w:rFonts w:cs="Times New Roman"/>
    </w:rPr>
  </w:style>
  <w:style w:type="character" w:customStyle="1" w:styleId="full-story-writer">
    <w:name w:val="full-story-writer"/>
    <w:basedOn w:val="Absatz-Standardschriftart"/>
    <w:uiPriority w:val="99"/>
    <w:rsid w:val="004E05D8"/>
    <w:rPr>
      <w:rFonts w:cs="Times New Roman"/>
    </w:rPr>
  </w:style>
  <w:style w:type="character" w:customStyle="1" w:styleId="full-story-date">
    <w:name w:val="full-story-date"/>
    <w:basedOn w:val="Absatz-Standardschriftart"/>
    <w:uiPriority w:val="99"/>
    <w:rsid w:val="004E05D8"/>
    <w:rPr>
      <w:rFonts w:cs="Times New Roman"/>
    </w:rPr>
  </w:style>
  <w:style w:type="character" w:customStyle="1" w:styleId="full-story-issueno">
    <w:name w:val="full-story-issueno"/>
    <w:basedOn w:val="Absatz-Standardschriftart"/>
    <w:uiPriority w:val="99"/>
    <w:rsid w:val="004E05D8"/>
    <w:rPr>
      <w:rFonts w:cs="Times New Roman"/>
    </w:rPr>
  </w:style>
  <w:style w:type="character" w:customStyle="1" w:styleId="unescocustom-5-corps-texte">
    <w:name w:val="unescocustom-5-corps-texte"/>
    <w:basedOn w:val="Absatz-Standardschriftart"/>
    <w:uiPriority w:val="99"/>
    <w:rsid w:val="00AC7BAC"/>
    <w:rPr>
      <w:rFonts w:cs="Times New Roman"/>
    </w:rPr>
  </w:style>
  <w:style w:type="paragraph" w:styleId="StandardWeb">
    <w:name w:val="Normal (Web)"/>
    <w:basedOn w:val="Standard"/>
    <w:uiPriority w:val="99"/>
    <w:rsid w:val="00AC7BAC"/>
    <w:pPr>
      <w:spacing w:before="100" w:beforeAutospacing="1" w:after="100" w:afterAutospacing="1"/>
    </w:pPr>
  </w:style>
  <w:style w:type="paragraph" w:customStyle="1" w:styleId="NoSpacing1">
    <w:name w:val="No Spacing1"/>
    <w:uiPriority w:val="99"/>
    <w:rsid w:val="00960FBF"/>
    <w:rPr>
      <w:rFonts w:ascii="Calibri" w:hAnsi="Calibri"/>
      <w:lang w:eastAsia="en-US"/>
    </w:rPr>
  </w:style>
  <w:style w:type="character" w:styleId="Kommentarzeichen">
    <w:name w:val="annotation reference"/>
    <w:basedOn w:val="Absatz-Standardschriftart"/>
    <w:uiPriority w:val="99"/>
    <w:semiHidden/>
    <w:rsid w:val="00CA2DEE"/>
    <w:rPr>
      <w:rFonts w:cs="Times New Roman"/>
      <w:sz w:val="16"/>
    </w:rPr>
  </w:style>
  <w:style w:type="paragraph" w:styleId="Kommentartext">
    <w:name w:val="annotation text"/>
    <w:basedOn w:val="Standard"/>
    <w:link w:val="KommentartextZchn"/>
    <w:uiPriority w:val="99"/>
    <w:semiHidden/>
    <w:rsid w:val="00CA2DEE"/>
    <w:rPr>
      <w:sz w:val="20"/>
      <w:szCs w:val="20"/>
    </w:rPr>
  </w:style>
  <w:style w:type="character" w:customStyle="1" w:styleId="KommentartextZchn">
    <w:name w:val="Kommentartext Zchn"/>
    <w:basedOn w:val="Absatz-Standardschriftart"/>
    <w:link w:val="Kommentartext"/>
    <w:uiPriority w:val="99"/>
    <w:semiHidden/>
    <w:locked/>
    <w:rsid w:val="00D520D5"/>
    <w:rPr>
      <w:rFonts w:cs="Times New Roman"/>
      <w:lang w:eastAsia="ja-JP"/>
    </w:rPr>
  </w:style>
  <w:style w:type="paragraph" w:styleId="Kommentarthema">
    <w:name w:val="annotation subject"/>
    <w:basedOn w:val="Kommentartext"/>
    <w:next w:val="Kommentartext"/>
    <w:link w:val="KommentarthemaZchn"/>
    <w:uiPriority w:val="99"/>
    <w:semiHidden/>
    <w:rsid w:val="00CA2DEE"/>
    <w:rPr>
      <w:b/>
      <w:bCs/>
    </w:rPr>
  </w:style>
  <w:style w:type="character" w:customStyle="1" w:styleId="KommentarthemaZchn">
    <w:name w:val="Kommentarthema Zchn"/>
    <w:basedOn w:val="KommentartextZchn"/>
    <w:link w:val="Kommentarthema"/>
    <w:uiPriority w:val="99"/>
    <w:semiHidden/>
    <w:locked/>
    <w:rPr>
      <w:rFonts w:cs="Times New Roman"/>
      <w:b/>
      <w:bCs/>
      <w:sz w:val="20"/>
      <w:szCs w:val="20"/>
      <w:lang w:eastAsia="ja-JP"/>
    </w:rPr>
  </w:style>
  <w:style w:type="paragraph" w:styleId="Sprechblasentext">
    <w:name w:val="Balloon Text"/>
    <w:basedOn w:val="Standard"/>
    <w:link w:val="SprechblasentextZchn"/>
    <w:uiPriority w:val="99"/>
    <w:semiHidden/>
    <w:rsid w:val="00CA2D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lang w:eastAsia="ja-JP"/>
    </w:rPr>
  </w:style>
  <w:style w:type="table" w:styleId="HelleSchattierung">
    <w:name w:val="Light Shading"/>
    <w:basedOn w:val="NormaleTabelle"/>
    <w:uiPriority w:val="99"/>
    <w:rsid w:val="00D520D5"/>
    <w:rPr>
      <w:rFonts w:ascii="Calibri" w:hAnsi="Calibri"/>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Kopfzeile">
    <w:name w:val="header"/>
    <w:basedOn w:val="Standard"/>
    <w:link w:val="KopfzeileZchn"/>
    <w:uiPriority w:val="99"/>
    <w:rsid w:val="00D32FA1"/>
    <w:pPr>
      <w:tabs>
        <w:tab w:val="center" w:pos="4536"/>
        <w:tab w:val="right" w:pos="9072"/>
      </w:tabs>
    </w:pPr>
  </w:style>
  <w:style w:type="character" w:customStyle="1" w:styleId="KopfzeileZchn">
    <w:name w:val="Kopfzeile Zchn"/>
    <w:basedOn w:val="Absatz-Standardschriftart"/>
    <w:link w:val="Kopfzeile"/>
    <w:uiPriority w:val="99"/>
    <w:locked/>
    <w:rsid w:val="00D32FA1"/>
    <w:rPr>
      <w:rFonts w:cs="Times New Roman"/>
      <w:sz w:val="24"/>
      <w:lang w:eastAsia="ja-JP"/>
    </w:rPr>
  </w:style>
  <w:style w:type="paragraph" w:styleId="Fuzeile">
    <w:name w:val="footer"/>
    <w:basedOn w:val="Standard"/>
    <w:link w:val="FuzeileZchn"/>
    <w:uiPriority w:val="99"/>
    <w:rsid w:val="00D32FA1"/>
    <w:pPr>
      <w:tabs>
        <w:tab w:val="center" w:pos="4536"/>
        <w:tab w:val="right" w:pos="9072"/>
      </w:tabs>
    </w:pPr>
  </w:style>
  <w:style w:type="character" w:customStyle="1" w:styleId="FuzeileZchn">
    <w:name w:val="Fußzeile Zchn"/>
    <w:basedOn w:val="Absatz-Standardschriftart"/>
    <w:link w:val="Fuzeile"/>
    <w:uiPriority w:val="99"/>
    <w:locked/>
    <w:rsid w:val="00D32FA1"/>
    <w:rPr>
      <w:rFonts w:cs="Times New Roman"/>
      <w:sz w:val="24"/>
      <w:lang w:eastAsia="ja-JP"/>
    </w:rPr>
  </w:style>
  <w:style w:type="paragraph" w:styleId="berarbeitung">
    <w:name w:val="Revision"/>
    <w:hidden/>
    <w:uiPriority w:val="99"/>
    <w:semiHidden/>
    <w:rsid w:val="00417493"/>
    <w:rPr>
      <w:sz w:val="24"/>
      <w:szCs w:val="24"/>
      <w:lang w:eastAsia="ja-JP"/>
    </w:rPr>
  </w:style>
  <w:style w:type="character" w:styleId="BesuchterLink">
    <w:name w:val="FollowedHyperlink"/>
    <w:basedOn w:val="Absatz-Standardschriftart"/>
    <w:uiPriority w:val="99"/>
    <w:rsid w:val="006B40D7"/>
    <w:rPr>
      <w:rFonts w:cs="Times New Roman"/>
      <w:color w:val="800080"/>
      <w:u w:val="single"/>
    </w:rPr>
  </w:style>
  <w:style w:type="table" w:styleId="Tabellenraster">
    <w:name w:val="Table Grid"/>
    <w:basedOn w:val="NormaleTabelle"/>
    <w:uiPriority w:val="99"/>
    <w:rsid w:val="005A5C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A46ED"/>
    <w:pPr>
      <w:ind w:left="720"/>
      <w:contextualSpacing/>
    </w:pPr>
  </w:style>
  <w:style w:type="table" w:customStyle="1" w:styleId="Tabellenraster1">
    <w:name w:val="Tabellenraster1"/>
    <w:basedOn w:val="NormaleTabelle"/>
    <w:next w:val="Tabellenraster"/>
    <w:uiPriority w:val="59"/>
    <w:rsid w:val="00D37FBF"/>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Standard"/>
    <w:uiPriority w:val="99"/>
    <w:unhideWhenUsed/>
    <w:rsid w:val="00E1532E"/>
    <w:pPr>
      <w:ind w:left="283" w:hanging="283"/>
      <w:contextualSpacing/>
    </w:pPr>
  </w:style>
  <w:style w:type="paragraph" w:styleId="Listenfortsetzung">
    <w:name w:val="List Continue"/>
    <w:basedOn w:val="Standard"/>
    <w:uiPriority w:val="99"/>
    <w:unhideWhenUsed/>
    <w:rsid w:val="00E1532E"/>
    <w:pPr>
      <w:spacing w:after="120"/>
      <w:ind w:left="283"/>
      <w:contextualSpacing/>
    </w:pPr>
  </w:style>
  <w:style w:type="paragraph" w:styleId="Beschriftung">
    <w:name w:val="caption"/>
    <w:basedOn w:val="Standard"/>
    <w:next w:val="Standard"/>
    <w:unhideWhenUsed/>
    <w:qFormat/>
    <w:locked/>
    <w:rsid w:val="00E1532E"/>
    <w:pPr>
      <w:spacing w:after="200"/>
    </w:pPr>
    <w:rPr>
      <w:i/>
      <w:iCs/>
      <w:color w:val="1F497D" w:themeColor="text2"/>
      <w:sz w:val="18"/>
      <w:szCs w:val="18"/>
    </w:rPr>
  </w:style>
  <w:style w:type="paragraph" w:styleId="Textkrper">
    <w:name w:val="Body Text"/>
    <w:basedOn w:val="Standard"/>
    <w:link w:val="TextkrperZchn"/>
    <w:uiPriority w:val="99"/>
    <w:unhideWhenUsed/>
    <w:rsid w:val="00E1532E"/>
    <w:pPr>
      <w:spacing w:after="120"/>
    </w:pPr>
  </w:style>
  <w:style w:type="character" w:customStyle="1" w:styleId="TextkrperZchn">
    <w:name w:val="Textkörper Zchn"/>
    <w:basedOn w:val="Absatz-Standardschriftart"/>
    <w:link w:val="Textkrper"/>
    <w:uiPriority w:val="99"/>
    <w:rsid w:val="00E1532E"/>
    <w:rPr>
      <w:sz w:val="24"/>
      <w:szCs w:val="24"/>
      <w:lang w:eastAsia="ja-JP"/>
    </w:rPr>
  </w:style>
  <w:style w:type="paragraph" w:styleId="Textkrper-Zeileneinzug">
    <w:name w:val="Body Text Indent"/>
    <w:basedOn w:val="Standard"/>
    <w:link w:val="Textkrper-ZeileneinzugZchn"/>
    <w:uiPriority w:val="99"/>
    <w:semiHidden/>
    <w:unhideWhenUsed/>
    <w:rsid w:val="00E1532E"/>
    <w:pPr>
      <w:spacing w:after="120"/>
      <w:ind w:left="283"/>
    </w:pPr>
  </w:style>
  <w:style w:type="character" w:customStyle="1" w:styleId="Textkrper-ZeileneinzugZchn">
    <w:name w:val="Textkörper-Zeileneinzug Zchn"/>
    <w:basedOn w:val="Absatz-Standardschriftart"/>
    <w:link w:val="Textkrper-Zeileneinzug"/>
    <w:uiPriority w:val="99"/>
    <w:semiHidden/>
    <w:rsid w:val="00E1532E"/>
    <w:rPr>
      <w:sz w:val="24"/>
      <w:szCs w:val="24"/>
      <w:lang w:eastAsia="ja-JP"/>
    </w:rPr>
  </w:style>
  <w:style w:type="paragraph" w:styleId="Textkrper-Erstzeileneinzug2">
    <w:name w:val="Body Text First Indent 2"/>
    <w:basedOn w:val="Textkrper-Zeileneinzug"/>
    <w:link w:val="Textkrper-Erstzeileneinzug2Zchn"/>
    <w:uiPriority w:val="99"/>
    <w:unhideWhenUsed/>
    <w:rsid w:val="00E1532E"/>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E1532E"/>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25796">
      <w:marLeft w:val="0"/>
      <w:marRight w:val="0"/>
      <w:marTop w:val="0"/>
      <w:marBottom w:val="0"/>
      <w:divBdr>
        <w:top w:val="none" w:sz="0" w:space="0" w:color="auto"/>
        <w:left w:val="none" w:sz="0" w:space="0" w:color="auto"/>
        <w:bottom w:val="none" w:sz="0" w:space="0" w:color="auto"/>
        <w:right w:val="none" w:sz="0" w:space="0" w:color="auto"/>
      </w:divBdr>
    </w:div>
    <w:div w:id="409425799">
      <w:marLeft w:val="0"/>
      <w:marRight w:val="0"/>
      <w:marTop w:val="0"/>
      <w:marBottom w:val="0"/>
      <w:divBdr>
        <w:top w:val="none" w:sz="0" w:space="0" w:color="auto"/>
        <w:left w:val="none" w:sz="0" w:space="0" w:color="auto"/>
        <w:bottom w:val="none" w:sz="0" w:space="0" w:color="auto"/>
        <w:right w:val="none" w:sz="0" w:space="0" w:color="auto"/>
      </w:divBdr>
    </w:div>
    <w:div w:id="409425805">
      <w:marLeft w:val="0"/>
      <w:marRight w:val="0"/>
      <w:marTop w:val="0"/>
      <w:marBottom w:val="0"/>
      <w:divBdr>
        <w:top w:val="none" w:sz="0" w:space="0" w:color="auto"/>
        <w:left w:val="none" w:sz="0" w:space="0" w:color="auto"/>
        <w:bottom w:val="none" w:sz="0" w:space="0" w:color="auto"/>
        <w:right w:val="none" w:sz="0" w:space="0" w:color="auto"/>
      </w:divBdr>
    </w:div>
    <w:div w:id="409425806">
      <w:marLeft w:val="0"/>
      <w:marRight w:val="0"/>
      <w:marTop w:val="0"/>
      <w:marBottom w:val="0"/>
      <w:divBdr>
        <w:top w:val="none" w:sz="0" w:space="0" w:color="auto"/>
        <w:left w:val="none" w:sz="0" w:space="0" w:color="auto"/>
        <w:bottom w:val="none" w:sz="0" w:space="0" w:color="auto"/>
        <w:right w:val="none" w:sz="0" w:space="0" w:color="auto"/>
      </w:divBdr>
      <w:divsChild>
        <w:div w:id="409425808">
          <w:marLeft w:val="0"/>
          <w:marRight w:val="0"/>
          <w:marTop w:val="0"/>
          <w:marBottom w:val="0"/>
          <w:divBdr>
            <w:top w:val="none" w:sz="0" w:space="0" w:color="auto"/>
            <w:left w:val="none" w:sz="0" w:space="0" w:color="auto"/>
            <w:bottom w:val="none" w:sz="0" w:space="0" w:color="auto"/>
            <w:right w:val="none" w:sz="0" w:space="0" w:color="auto"/>
          </w:divBdr>
        </w:div>
        <w:div w:id="409425811">
          <w:marLeft w:val="0"/>
          <w:marRight w:val="0"/>
          <w:marTop w:val="0"/>
          <w:marBottom w:val="0"/>
          <w:divBdr>
            <w:top w:val="none" w:sz="0" w:space="0" w:color="auto"/>
            <w:left w:val="none" w:sz="0" w:space="0" w:color="auto"/>
            <w:bottom w:val="none" w:sz="0" w:space="0" w:color="auto"/>
            <w:right w:val="none" w:sz="0" w:space="0" w:color="auto"/>
          </w:divBdr>
        </w:div>
      </w:divsChild>
    </w:div>
    <w:div w:id="409425812">
      <w:marLeft w:val="0"/>
      <w:marRight w:val="0"/>
      <w:marTop w:val="0"/>
      <w:marBottom w:val="0"/>
      <w:divBdr>
        <w:top w:val="none" w:sz="0" w:space="0" w:color="auto"/>
        <w:left w:val="none" w:sz="0" w:space="0" w:color="auto"/>
        <w:bottom w:val="none" w:sz="0" w:space="0" w:color="auto"/>
        <w:right w:val="none" w:sz="0" w:space="0" w:color="auto"/>
      </w:divBdr>
    </w:div>
    <w:div w:id="409425814">
      <w:marLeft w:val="0"/>
      <w:marRight w:val="0"/>
      <w:marTop w:val="0"/>
      <w:marBottom w:val="0"/>
      <w:divBdr>
        <w:top w:val="none" w:sz="0" w:space="0" w:color="auto"/>
        <w:left w:val="none" w:sz="0" w:space="0" w:color="auto"/>
        <w:bottom w:val="none" w:sz="0" w:space="0" w:color="auto"/>
        <w:right w:val="none" w:sz="0" w:space="0" w:color="auto"/>
      </w:divBdr>
    </w:div>
    <w:div w:id="409425816">
      <w:marLeft w:val="0"/>
      <w:marRight w:val="0"/>
      <w:marTop w:val="0"/>
      <w:marBottom w:val="0"/>
      <w:divBdr>
        <w:top w:val="none" w:sz="0" w:space="0" w:color="auto"/>
        <w:left w:val="none" w:sz="0" w:space="0" w:color="auto"/>
        <w:bottom w:val="none" w:sz="0" w:space="0" w:color="auto"/>
        <w:right w:val="none" w:sz="0" w:space="0" w:color="auto"/>
      </w:divBdr>
      <w:divsChild>
        <w:div w:id="409425800">
          <w:marLeft w:val="0"/>
          <w:marRight w:val="0"/>
          <w:marTop w:val="0"/>
          <w:marBottom w:val="0"/>
          <w:divBdr>
            <w:top w:val="none" w:sz="0" w:space="0" w:color="auto"/>
            <w:left w:val="none" w:sz="0" w:space="0" w:color="auto"/>
            <w:bottom w:val="none" w:sz="0" w:space="0" w:color="auto"/>
            <w:right w:val="none" w:sz="0" w:space="0" w:color="auto"/>
          </w:divBdr>
        </w:div>
        <w:div w:id="409425802">
          <w:marLeft w:val="0"/>
          <w:marRight w:val="0"/>
          <w:marTop w:val="0"/>
          <w:marBottom w:val="0"/>
          <w:divBdr>
            <w:top w:val="none" w:sz="0" w:space="0" w:color="auto"/>
            <w:left w:val="none" w:sz="0" w:space="0" w:color="auto"/>
            <w:bottom w:val="none" w:sz="0" w:space="0" w:color="auto"/>
            <w:right w:val="none" w:sz="0" w:space="0" w:color="auto"/>
          </w:divBdr>
        </w:div>
        <w:div w:id="409425803">
          <w:marLeft w:val="0"/>
          <w:marRight w:val="0"/>
          <w:marTop w:val="0"/>
          <w:marBottom w:val="0"/>
          <w:divBdr>
            <w:top w:val="none" w:sz="0" w:space="0" w:color="auto"/>
            <w:left w:val="none" w:sz="0" w:space="0" w:color="auto"/>
            <w:bottom w:val="none" w:sz="0" w:space="0" w:color="auto"/>
            <w:right w:val="none" w:sz="0" w:space="0" w:color="auto"/>
          </w:divBdr>
        </w:div>
        <w:div w:id="409425804">
          <w:marLeft w:val="0"/>
          <w:marRight w:val="0"/>
          <w:marTop w:val="0"/>
          <w:marBottom w:val="0"/>
          <w:divBdr>
            <w:top w:val="none" w:sz="0" w:space="0" w:color="auto"/>
            <w:left w:val="none" w:sz="0" w:space="0" w:color="auto"/>
            <w:bottom w:val="none" w:sz="0" w:space="0" w:color="auto"/>
            <w:right w:val="none" w:sz="0" w:space="0" w:color="auto"/>
          </w:divBdr>
        </w:div>
        <w:div w:id="409425807">
          <w:marLeft w:val="0"/>
          <w:marRight w:val="0"/>
          <w:marTop w:val="0"/>
          <w:marBottom w:val="0"/>
          <w:divBdr>
            <w:top w:val="none" w:sz="0" w:space="0" w:color="auto"/>
            <w:left w:val="none" w:sz="0" w:space="0" w:color="auto"/>
            <w:bottom w:val="none" w:sz="0" w:space="0" w:color="auto"/>
            <w:right w:val="none" w:sz="0" w:space="0" w:color="auto"/>
          </w:divBdr>
        </w:div>
        <w:div w:id="409425817">
          <w:marLeft w:val="0"/>
          <w:marRight w:val="0"/>
          <w:marTop w:val="0"/>
          <w:marBottom w:val="0"/>
          <w:divBdr>
            <w:top w:val="none" w:sz="0" w:space="0" w:color="auto"/>
            <w:left w:val="none" w:sz="0" w:space="0" w:color="auto"/>
            <w:bottom w:val="none" w:sz="0" w:space="0" w:color="auto"/>
            <w:right w:val="none" w:sz="0" w:space="0" w:color="auto"/>
          </w:divBdr>
        </w:div>
        <w:div w:id="409425818">
          <w:marLeft w:val="0"/>
          <w:marRight w:val="0"/>
          <w:marTop w:val="0"/>
          <w:marBottom w:val="0"/>
          <w:divBdr>
            <w:top w:val="none" w:sz="0" w:space="0" w:color="auto"/>
            <w:left w:val="none" w:sz="0" w:space="0" w:color="auto"/>
            <w:bottom w:val="none" w:sz="0" w:space="0" w:color="auto"/>
            <w:right w:val="none" w:sz="0" w:space="0" w:color="auto"/>
          </w:divBdr>
        </w:div>
        <w:div w:id="409425825">
          <w:marLeft w:val="0"/>
          <w:marRight w:val="0"/>
          <w:marTop w:val="0"/>
          <w:marBottom w:val="0"/>
          <w:divBdr>
            <w:top w:val="none" w:sz="0" w:space="0" w:color="auto"/>
            <w:left w:val="none" w:sz="0" w:space="0" w:color="auto"/>
            <w:bottom w:val="none" w:sz="0" w:space="0" w:color="auto"/>
            <w:right w:val="none" w:sz="0" w:space="0" w:color="auto"/>
          </w:divBdr>
        </w:div>
        <w:div w:id="409425827">
          <w:marLeft w:val="0"/>
          <w:marRight w:val="0"/>
          <w:marTop w:val="0"/>
          <w:marBottom w:val="0"/>
          <w:divBdr>
            <w:top w:val="none" w:sz="0" w:space="0" w:color="auto"/>
            <w:left w:val="none" w:sz="0" w:space="0" w:color="auto"/>
            <w:bottom w:val="none" w:sz="0" w:space="0" w:color="auto"/>
            <w:right w:val="none" w:sz="0" w:space="0" w:color="auto"/>
          </w:divBdr>
        </w:div>
      </w:divsChild>
    </w:div>
    <w:div w:id="409425819">
      <w:marLeft w:val="0"/>
      <w:marRight w:val="0"/>
      <w:marTop w:val="0"/>
      <w:marBottom w:val="0"/>
      <w:divBdr>
        <w:top w:val="none" w:sz="0" w:space="0" w:color="auto"/>
        <w:left w:val="none" w:sz="0" w:space="0" w:color="auto"/>
        <w:bottom w:val="none" w:sz="0" w:space="0" w:color="auto"/>
        <w:right w:val="none" w:sz="0" w:space="0" w:color="auto"/>
      </w:divBdr>
      <w:divsChild>
        <w:div w:id="409425810">
          <w:marLeft w:val="0"/>
          <w:marRight w:val="0"/>
          <w:marTop w:val="0"/>
          <w:marBottom w:val="0"/>
          <w:divBdr>
            <w:top w:val="none" w:sz="0" w:space="0" w:color="auto"/>
            <w:left w:val="none" w:sz="0" w:space="0" w:color="auto"/>
            <w:bottom w:val="none" w:sz="0" w:space="0" w:color="auto"/>
            <w:right w:val="none" w:sz="0" w:space="0" w:color="auto"/>
          </w:divBdr>
          <w:divsChild>
            <w:div w:id="409425797">
              <w:marLeft w:val="0"/>
              <w:marRight w:val="0"/>
              <w:marTop w:val="0"/>
              <w:marBottom w:val="0"/>
              <w:divBdr>
                <w:top w:val="none" w:sz="0" w:space="0" w:color="auto"/>
                <w:left w:val="none" w:sz="0" w:space="0" w:color="auto"/>
                <w:bottom w:val="none" w:sz="0" w:space="0" w:color="auto"/>
                <w:right w:val="none" w:sz="0" w:space="0" w:color="auto"/>
              </w:divBdr>
            </w:div>
            <w:div w:id="409425798">
              <w:marLeft w:val="0"/>
              <w:marRight w:val="0"/>
              <w:marTop w:val="0"/>
              <w:marBottom w:val="0"/>
              <w:divBdr>
                <w:top w:val="none" w:sz="0" w:space="0" w:color="auto"/>
                <w:left w:val="none" w:sz="0" w:space="0" w:color="auto"/>
                <w:bottom w:val="none" w:sz="0" w:space="0" w:color="auto"/>
                <w:right w:val="none" w:sz="0" w:space="0" w:color="auto"/>
              </w:divBdr>
            </w:div>
            <w:div w:id="409425801">
              <w:marLeft w:val="0"/>
              <w:marRight w:val="0"/>
              <w:marTop w:val="0"/>
              <w:marBottom w:val="0"/>
              <w:divBdr>
                <w:top w:val="none" w:sz="0" w:space="0" w:color="auto"/>
                <w:left w:val="none" w:sz="0" w:space="0" w:color="auto"/>
                <w:bottom w:val="none" w:sz="0" w:space="0" w:color="auto"/>
                <w:right w:val="none" w:sz="0" w:space="0" w:color="auto"/>
              </w:divBdr>
            </w:div>
            <w:div w:id="409425809">
              <w:marLeft w:val="0"/>
              <w:marRight w:val="0"/>
              <w:marTop w:val="0"/>
              <w:marBottom w:val="0"/>
              <w:divBdr>
                <w:top w:val="none" w:sz="0" w:space="0" w:color="auto"/>
                <w:left w:val="none" w:sz="0" w:space="0" w:color="auto"/>
                <w:bottom w:val="none" w:sz="0" w:space="0" w:color="auto"/>
                <w:right w:val="none" w:sz="0" w:space="0" w:color="auto"/>
              </w:divBdr>
            </w:div>
            <w:div w:id="409425813">
              <w:marLeft w:val="0"/>
              <w:marRight w:val="0"/>
              <w:marTop w:val="0"/>
              <w:marBottom w:val="0"/>
              <w:divBdr>
                <w:top w:val="none" w:sz="0" w:space="0" w:color="auto"/>
                <w:left w:val="none" w:sz="0" w:space="0" w:color="auto"/>
                <w:bottom w:val="none" w:sz="0" w:space="0" w:color="auto"/>
                <w:right w:val="none" w:sz="0" w:space="0" w:color="auto"/>
              </w:divBdr>
            </w:div>
            <w:div w:id="409425815">
              <w:marLeft w:val="0"/>
              <w:marRight w:val="0"/>
              <w:marTop w:val="0"/>
              <w:marBottom w:val="0"/>
              <w:divBdr>
                <w:top w:val="none" w:sz="0" w:space="0" w:color="auto"/>
                <w:left w:val="none" w:sz="0" w:space="0" w:color="auto"/>
                <w:bottom w:val="none" w:sz="0" w:space="0" w:color="auto"/>
                <w:right w:val="none" w:sz="0" w:space="0" w:color="auto"/>
              </w:divBdr>
            </w:div>
            <w:div w:id="409425820">
              <w:marLeft w:val="0"/>
              <w:marRight w:val="0"/>
              <w:marTop w:val="0"/>
              <w:marBottom w:val="0"/>
              <w:divBdr>
                <w:top w:val="none" w:sz="0" w:space="0" w:color="auto"/>
                <w:left w:val="none" w:sz="0" w:space="0" w:color="auto"/>
                <w:bottom w:val="none" w:sz="0" w:space="0" w:color="auto"/>
                <w:right w:val="none" w:sz="0" w:space="0" w:color="auto"/>
              </w:divBdr>
            </w:div>
            <w:div w:id="409425821">
              <w:marLeft w:val="0"/>
              <w:marRight w:val="0"/>
              <w:marTop w:val="0"/>
              <w:marBottom w:val="0"/>
              <w:divBdr>
                <w:top w:val="none" w:sz="0" w:space="0" w:color="auto"/>
                <w:left w:val="none" w:sz="0" w:space="0" w:color="auto"/>
                <w:bottom w:val="none" w:sz="0" w:space="0" w:color="auto"/>
                <w:right w:val="none" w:sz="0" w:space="0" w:color="auto"/>
              </w:divBdr>
            </w:div>
            <w:div w:id="409425822">
              <w:marLeft w:val="0"/>
              <w:marRight w:val="0"/>
              <w:marTop w:val="0"/>
              <w:marBottom w:val="0"/>
              <w:divBdr>
                <w:top w:val="none" w:sz="0" w:space="0" w:color="auto"/>
                <w:left w:val="none" w:sz="0" w:space="0" w:color="auto"/>
                <w:bottom w:val="none" w:sz="0" w:space="0" w:color="auto"/>
                <w:right w:val="none" w:sz="0" w:space="0" w:color="auto"/>
              </w:divBdr>
            </w:div>
            <w:div w:id="409425823">
              <w:marLeft w:val="0"/>
              <w:marRight w:val="0"/>
              <w:marTop w:val="0"/>
              <w:marBottom w:val="0"/>
              <w:divBdr>
                <w:top w:val="none" w:sz="0" w:space="0" w:color="auto"/>
                <w:left w:val="none" w:sz="0" w:space="0" w:color="auto"/>
                <w:bottom w:val="none" w:sz="0" w:space="0" w:color="auto"/>
                <w:right w:val="none" w:sz="0" w:space="0" w:color="auto"/>
              </w:divBdr>
            </w:div>
            <w:div w:id="409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5826">
      <w:marLeft w:val="0"/>
      <w:marRight w:val="0"/>
      <w:marTop w:val="0"/>
      <w:marBottom w:val="0"/>
      <w:divBdr>
        <w:top w:val="none" w:sz="0" w:space="0" w:color="auto"/>
        <w:left w:val="none" w:sz="0" w:space="0" w:color="auto"/>
        <w:bottom w:val="none" w:sz="0" w:space="0" w:color="auto"/>
        <w:right w:val="none" w:sz="0" w:space="0" w:color="auto"/>
      </w:divBdr>
    </w:div>
    <w:div w:id="767966728">
      <w:bodyDiv w:val="1"/>
      <w:marLeft w:val="0"/>
      <w:marRight w:val="0"/>
      <w:marTop w:val="0"/>
      <w:marBottom w:val="0"/>
      <w:divBdr>
        <w:top w:val="none" w:sz="0" w:space="0" w:color="auto"/>
        <w:left w:val="none" w:sz="0" w:space="0" w:color="auto"/>
        <w:bottom w:val="none" w:sz="0" w:space="0" w:color="auto"/>
        <w:right w:val="none" w:sz="0" w:space="0" w:color="auto"/>
      </w:divBdr>
    </w:div>
    <w:div w:id="1499999914">
      <w:bodyDiv w:val="1"/>
      <w:marLeft w:val="0"/>
      <w:marRight w:val="0"/>
      <w:marTop w:val="0"/>
      <w:marBottom w:val="0"/>
      <w:divBdr>
        <w:top w:val="none" w:sz="0" w:space="0" w:color="auto"/>
        <w:left w:val="none" w:sz="0" w:space="0" w:color="auto"/>
        <w:bottom w:val="none" w:sz="0" w:space="0" w:color="auto"/>
        <w:right w:val="none" w:sz="0" w:space="0" w:color="auto"/>
      </w:divBdr>
    </w:div>
    <w:div w:id="166258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82FE5-8EDF-417E-A735-B417747F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6583</Words>
  <Characters>41473</Characters>
  <Application>Microsoft Office Word</Application>
  <DocSecurity>0</DocSecurity>
  <Lines>345</Lines>
  <Paragraphs>95</Paragraphs>
  <ScaleCrop>false</ScaleCrop>
  <HeadingPairs>
    <vt:vector size="2" baseType="variant">
      <vt:variant>
        <vt:lpstr>Titel</vt:lpstr>
      </vt:variant>
      <vt:variant>
        <vt:i4>1</vt:i4>
      </vt:variant>
    </vt:vector>
  </HeadingPairs>
  <TitlesOfParts>
    <vt:vector size="1" baseType="lpstr">
      <vt:lpstr>Das symbolische Kapital ausländischer Universitäten und ihr Einfluss auf die Zulassung von internationalen Doktoranden</vt:lpstr>
    </vt:vector>
  </TitlesOfParts>
  <Company>Freie Universität Berlin</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symbolische Kapital ausländischer Universitäten und ihr Einfluss auf die Zulassung von internationalen Doktoranden</dc:title>
  <dc:creator>Gerhards</dc:creator>
  <cp:lastModifiedBy>Gerhards</cp:lastModifiedBy>
  <cp:revision>2</cp:revision>
  <cp:lastPrinted>2016-09-02T09:25:00Z</cp:lastPrinted>
  <dcterms:created xsi:type="dcterms:W3CDTF">2020-07-28T13:00:00Z</dcterms:created>
  <dcterms:modified xsi:type="dcterms:W3CDTF">2020-07-28T13:00:00Z</dcterms:modified>
</cp:coreProperties>
</file>